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6C46E" w14:textId="77777777" w:rsidR="005A68CA" w:rsidRDefault="005A68CA" w:rsidP="005A68CA">
      <w:pPr>
        <w:jc w:val="center"/>
        <w:rPr>
          <w:sz w:val="32"/>
          <w:szCs w:val="32"/>
        </w:rPr>
      </w:pPr>
    </w:p>
    <w:p w14:paraId="186A8D66" w14:textId="77777777" w:rsidR="005A68CA" w:rsidRDefault="005A68CA" w:rsidP="005A68CA">
      <w:pPr>
        <w:jc w:val="center"/>
        <w:rPr>
          <w:sz w:val="32"/>
          <w:szCs w:val="32"/>
        </w:rPr>
      </w:pPr>
    </w:p>
    <w:p w14:paraId="4ABF48F0" w14:textId="77777777" w:rsidR="005A68CA" w:rsidRPr="00984DE3" w:rsidRDefault="005A68CA" w:rsidP="005A68CA">
      <w:pPr>
        <w:jc w:val="center"/>
        <w:rPr>
          <w:sz w:val="32"/>
          <w:szCs w:val="32"/>
          <w:lang w:val="fr-FR"/>
        </w:rPr>
      </w:pPr>
      <w:r w:rsidRPr="00984DE3">
        <w:rPr>
          <w:sz w:val="32"/>
          <w:szCs w:val="32"/>
          <w:lang w:val="fr-FR"/>
        </w:rPr>
        <w:t>Autour de la mère morte</w:t>
      </w:r>
    </w:p>
    <w:p w14:paraId="275DF296" w14:textId="77777777" w:rsidR="005A68CA" w:rsidRPr="00984DE3" w:rsidRDefault="005A68CA" w:rsidP="005A68CA">
      <w:pPr>
        <w:jc w:val="center"/>
        <w:rPr>
          <w:sz w:val="32"/>
          <w:szCs w:val="32"/>
          <w:lang w:val="fr-FR"/>
        </w:rPr>
      </w:pPr>
    </w:p>
    <w:p w14:paraId="5A301E56" w14:textId="77777777" w:rsidR="005A68CA" w:rsidRPr="00984DE3" w:rsidRDefault="005A68CA" w:rsidP="005A68CA">
      <w:pPr>
        <w:jc w:val="center"/>
        <w:rPr>
          <w:sz w:val="28"/>
          <w:szCs w:val="28"/>
          <w:lang w:val="fr-FR"/>
        </w:rPr>
      </w:pPr>
      <w:r w:rsidRPr="00984DE3">
        <w:rPr>
          <w:sz w:val="28"/>
          <w:szCs w:val="28"/>
          <w:lang w:val="fr-FR"/>
        </w:rPr>
        <w:t>Andrew Asibong (London)</w:t>
      </w:r>
    </w:p>
    <w:p w14:paraId="0308ABC7" w14:textId="77777777" w:rsidR="005A68CA" w:rsidRPr="00984DE3" w:rsidRDefault="005A68CA" w:rsidP="004E4182">
      <w:pPr>
        <w:rPr>
          <w:sz w:val="32"/>
          <w:szCs w:val="32"/>
          <w:lang w:val="fr-FR"/>
        </w:rPr>
      </w:pPr>
    </w:p>
    <w:p w14:paraId="7EB29F4C" w14:textId="77777777" w:rsidR="005A68CA" w:rsidRPr="005A68CA" w:rsidRDefault="005A68CA" w:rsidP="005A68CA">
      <w:pPr>
        <w:ind w:left="3686"/>
        <w:rPr>
          <w:sz w:val="32"/>
          <w:szCs w:val="32"/>
          <w:lang w:val="fr-FR"/>
        </w:rPr>
      </w:pPr>
      <w:r w:rsidRPr="00372978">
        <w:rPr>
          <w:rFonts w:cs="Times New Roman"/>
          <w:sz w:val="18"/>
          <w:szCs w:val="18"/>
          <w:lang w:val="fr-FR"/>
        </w:rPr>
        <w:t>Stupéfaite, il me sembla que ma mère était morte et que je n’avais devant moi que son apparition.</w:t>
      </w:r>
      <w:r w:rsidR="00653ED0" w:rsidRPr="00DE0E7F">
        <w:rPr>
          <w:rStyle w:val="FootnoteReference"/>
          <w:rFonts w:cs="Times New Roman"/>
          <w:vertAlign w:val="superscript"/>
          <w:lang w:val="fr-FR"/>
        </w:rPr>
        <w:footnoteReference w:id="1"/>
      </w:r>
    </w:p>
    <w:p w14:paraId="259614AF" w14:textId="77777777" w:rsidR="005A68CA" w:rsidRPr="005A68CA" w:rsidRDefault="005A68CA" w:rsidP="004E4182">
      <w:pPr>
        <w:rPr>
          <w:sz w:val="32"/>
          <w:szCs w:val="32"/>
          <w:lang w:val="fr-FR"/>
        </w:rPr>
      </w:pPr>
    </w:p>
    <w:p w14:paraId="09A4418A" w14:textId="77777777" w:rsidR="005A68CA" w:rsidRDefault="00653ED0" w:rsidP="00653ED0">
      <w:pPr>
        <w:ind w:left="3686"/>
        <w:rPr>
          <w:rFonts w:cs="Times New Roman"/>
          <w:sz w:val="18"/>
          <w:szCs w:val="18"/>
          <w:lang w:val="fr-FR"/>
        </w:rPr>
      </w:pPr>
      <w:r w:rsidRPr="00372978">
        <w:rPr>
          <w:rFonts w:cs="Times New Roman"/>
          <w:sz w:val="18"/>
          <w:szCs w:val="18"/>
          <w:lang w:val="fr-FR"/>
        </w:rPr>
        <w:t>Je sais, stupéfaite, que c’est elle, ma mère, mais rien ne me permet de ressentir cette évidence. […] Il me vient l’impression fugace que le regard de ma mère n’est pas à l’unisson du sourire de ma mère, que flotte dans ce regard, derrière les verres légèrement déformants, une inquiétude, voire un désarroi dont elle ne se rend pas compte.</w:t>
      </w:r>
      <w:r w:rsidRPr="00DE0E7F">
        <w:rPr>
          <w:rStyle w:val="FootnoteReference"/>
          <w:rFonts w:cs="Times New Roman"/>
          <w:vertAlign w:val="superscript"/>
          <w:lang w:val="fr-FR"/>
        </w:rPr>
        <w:footnoteReference w:id="2"/>
      </w:r>
    </w:p>
    <w:p w14:paraId="7D72F4F0" w14:textId="77777777" w:rsidR="00510F32" w:rsidRDefault="00510F32" w:rsidP="00653ED0">
      <w:pPr>
        <w:ind w:left="3686"/>
        <w:rPr>
          <w:rFonts w:cs="Times New Roman"/>
          <w:sz w:val="32"/>
          <w:szCs w:val="32"/>
          <w:lang w:val="fr-FR"/>
        </w:rPr>
      </w:pPr>
    </w:p>
    <w:p w14:paraId="3E2BA907" w14:textId="77777777" w:rsidR="00510F32" w:rsidRDefault="00510F32" w:rsidP="00653ED0">
      <w:pPr>
        <w:ind w:left="3686"/>
        <w:rPr>
          <w:rFonts w:cs="Times New Roman"/>
          <w:sz w:val="32"/>
          <w:szCs w:val="32"/>
          <w:lang w:val="fr-FR"/>
        </w:rPr>
      </w:pPr>
    </w:p>
    <w:p w14:paraId="2C00458A" w14:textId="77777777" w:rsidR="00510F32" w:rsidRPr="00510F32" w:rsidRDefault="00510F32" w:rsidP="00510F32">
      <w:pPr>
        <w:rPr>
          <w:rFonts w:cs="Times New Roman"/>
          <w:b/>
          <w:lang w:val="fr-FR"/>
        </w:rPr>
      </w:pPr>
      <w:r w:rsidRPr="00510F32">
        <w:rPr>
          <w:rFonts w:cs="Times New Roman"/>
          <w:b/>
          <w:lang w:val="fr-FR"/>
        </w:rPr>
        <w:t>Demi-fantômes familiaux</w:t>
      </w:r>
    </w:p>
    <w:p w14:paraId="21788A5D" w14:textId="77777777" w:rsidR="00510F32" w:rsidRDefault="00510F32" w:rsidP="00510F32">
      <w:pPr>
        <w:rPr>
          <w:rFonts w:cs="Times New Roman"/>
          <w:lang w:val="fr-FR"/>
        </w:rPr>
      </w:pPr>
    </w:p>
    <w:p w14:paraId="2860D359" w14:textId="77777777" w:rsidR="00510F32" w:rsidRDefault="00510F32" w:rsidP="001122D0">
      <w:pPr>
        <w:pStyle w:val="PNUVK"/>
      </w:pPr>
      <w:r w:rsidRPr="00510F32">
        <w:t xml:space="preserve">Les rapports familiaux tels qu’ils sont dépeints dans l’œuvre littéraire et théâtral de Marie NDiaye sont, pour la plupart, fantastiquement mortifères. La famille est un organisme qui finit très souvent par anéantir le protagoniste </w:t>
      </w:r>
      <w:proofErr w:type="spellStart"/>
      <w:r w:rsidRPr="00510F32">
        <w:t>ndiayïen</w:t>
      </w:r>
      <w:proofErr w:type="spellEnd"/>
      <w:r w:rsidRPr="00510F32">
        <w:t>, le détruisant petit à petit, à travers d’inquiétantes formes d’exclusion, d’abandon, de rejet, de torture ou de trahison. Pères, frères, sœurs et (surtout) mères s’insèrent insidieusement dans l’esprit auto-flagellant des héroïnes et des héros de NDiaye, mais ils refusent d’y rester</w:t>
      </w:r>
      <w:r w:rsidRPr="0041490D">
        <w:t xml:space="preserve"> </w:t>
      </w:r>
      <w:r w:rsidRPr="00510F32">
        <w:t xml:space="preserve">tranquillement. Au niveau physique, ces parents peuvent bien se retirer, disparaître, se dissoudre même. Cependant, au niveau psychique, ils persistent dans un état insoutenable, d’autant qu’ils sont absents ou littéralement fondus. Les </w:t>
      </w:r>
      <w:proofErr w:type="gramStart"/>
      <w:r w:rsidRPr="00510F32">
        <w:lastRenderedPageBreak/>
        <w:t>rares</w:t>
      </w:r>
      <w:proofErr w:type="gramEnd"/>
      <w:r w:rsidRPr="00510F32">
        <w:t xml:space="preserve"> occasions dans l’univers </w:t>
      </w:r>
      <w:proofErr w:type="spellStart"/>
      <w:r w:rsidRPr="00510F32">
        <w:t>ndiayïen</w:t>
      </w:r>
      <w:proofErr w:type="spellEnd"/>
      <w:r w:rsidRPr="00510F32">
        <w:t xml:space="preserve"> où un parent meurt, il est quasi-inévitable qu’il continuera à hanter le protagoniste : l’on pense à la grand-mère de Fanny, devenue esprit d’eau railleur, vers la fin d’</w:t>
      </w:r>
      <w:r w:rsidRPr="00510F32">
        <w:rPr>
          <w:i/>
        </w:rPr>
        <w:t>En famille</w:t>
      </w:r>
      <w:r w:rsidR="00DE0E7F" w:rsidRPr="00DE0E7F">
        <w:rPr>
          <w:rStyle w:val="FootnoteReference"/>
          <w:sz w:val="22"/>
          <w:szCs w:val="22"/>
          <w:vertAlign w:val="superscript"/>
        </w:rPr>
        <w:footnoteReference w:id="3"/>
      </w:r>
      <w:r w:rsidRPr="00510F32">
        <w:t xml:space="preserve">, ou bien à la tête flottante du père, Francis, à la dernière page de </w:t>
      </w:r>
      <w:r w:rsidRPr="00510F32">
        <w:rPr>
          <w:i/>
        </w:rPr>
        <w:t>Rosie Carpe</w:t>
      </w:r>
      <w:r w:rsidR="00DE0E7F" w:rsidRPr="00DE0E7F">
        <w:rPr>
          <w:rStyle w:val="FootnoteReference"/>
          <w:sz w:val="22"/>
          <w:szCs w:val="22"/>
          <w:vertAlign w:val="superscript"/>
        </w:rPr>
        <w:footnoteReference w:id="4"/>
      </w:r>
      <w:r w:rsidRPr="00510F32">
        <w:t xml:space="preserve">. Mais ces fantômes plutôt classiques, dans leur lisibilité cernable, soulagent </w:t>
      </w:r>
      <w:proofErr w:type="gramStart"/>
      <w:r w:rsidRPr="00510F32">
        <w:t>presque,.</w:t>
      </w:r>
      <w:proofErr w:type="gramEnd"/>
      <w:r w:rsidRPr="00510F32">
        <w:t xml:space="preserve"> Plus fréquentes chez NDiaye – et bien plus inquiétantes – sont les entités innommables, comme la femme et l’enfant dématérialisés de Herman dans </w:t>
      </w:r>
      <w:r w:rsidRPr="00510F32">
        <w:rPr>
          <w:i/>
        </w:rPr>
        <w:t>Un temps de saison</w:t>
      </w:r>
      <w:r w:rsidR="00DE0E7F" w:rsidRPr="00DE0E7F">
        <w:rPr>
          <w:rStyle w:val="FootnoteReference"/>
          <w:sz w:val="22"/>
          <w:szCs w:val="22"/>
          <w:vertAlign w:val="superscript"/>
        </w:rPr>
        <w:footnoteReference w:id="5"/>
      </w:r>
      <w:r w:rsidRPr="00510F32">
        <w:t xml:space="preserve">, ou quelques-unes des innombrables « femmes en vert » folles, dépressives ou suicidaires du faux </w:t>
      </w:r>
      <w:proofErr w:type="gramStart"/>
      <w:r w:rsidRPr="00510F32">
        <w:rPr>
          <w:i/>
        </w:rPr>
        <w:t xml:space="preserve">Autoportrait </w:t>
      </w:r>
      <w:r w:rsidRPr="00510F32">
        <w:t>.</w:t>
      </w:r>
      <w:proofErr w:type="gramEnd"/>
      <w:r w:rsidRPr="00510F32">
        <w:t xml:space="preserve"> Ce sont des « demi-fantômes », des êtres qui disparaissent sans explication, pour réapparaître, avec désinvolture, là où vous ne les attendiez plus, aveugles à votre existence et à la leur, morts-vivants étrangement souriants et radicalement incontournables. Ces parents-là rendent fou dans la mesure où ils sont réels sans vraiment l’être, dans la mesure où ils vous désorientent sans cesse, impossibles à se fixer ou à se représenter de façon concrète.</w:t>
      </w:r>
    </w:p>
    <w:p w14:paraId="2598D4B3" w14:textId="77777777" w:rsidR="002B64F1" w:rsidRDefault="002B64F1" w:rsidP="00BA5E94">
      <w:pPr>
        <w:pStyle w:val="PAUVK"/>
      </w:pPr>
      <w:r w:rsidRPr="00374303">
        <w:t xml:space="preserve">Ce chapitre explore l’expérience pseudo-fantomatique de la famille </w:t>
      </w:r>
      <w:proofErr w:type="spellStart"/>
      <w:r w:rsidRPr="00374303">
        <w:t>ndiayïenne</w:t>
      </w:r>
      <w:proofErr w:type="spellEnd"/>
      <w:r w:rsidRPr="00374303">
        <w:t xml:space="preserve"> dans le contexte d’un article maintenant devenu classique, écrit par le psychanalyste franco-égyptien André Green, « La mère morte »</w:t>
      </w:r>
      <w:r w:rsidRPr="00DE0E7F">
        <w:rPr>
          <w:rStyle w:val="FootnoteReference"/>
          <w:rFonts w:cs="Times New Roman"/>
          <w:sz w:val="22"/>
          <w:szCs w:val="22"/>
          <w:vertAlign w:val="superscript"/>
        </w:rPr>
        <w:footnoteReference w:id="6"/>
      </w:r>
      <w:r w:rsidRPr="00374303">
        <w:t>, car il nous semble bien que</w:t>
      </w:r>
      <w:r w:rsidR="00374303" w:rsidRPr="00374303">
        <w:t xml:space="preserve"> les portraits d’une sorte de « demi-vie » chez NDiaye et chez Green relèvent de la même fascination pour le « travail du négatif »</w:t>
      </w:r>
      <w:r w:rsidR="00DE0E7F" w:rsidRPr="00DE0E7F">
        <w:rPr>
          <w:rStyle w:val="FootnoteReference"/>
          <w:sz w:val="22"/>
          <w:szCs w:val="22"/>
          <w:vertAlign w:val="superscript"/>
        </w:rPr>
        <w:footnoteReference w:id="7"/>
      </w:r>
      <w:r w:rsidR="00374303" w:rsidRPr="00374303">
        <w:t xml:space="preserve"> dans la psyché traumatisée, tracent la même logique d’une mélancolie spectrale et souvent méconnaissable dans l’existence humaine. NDiaye et Green nous présentent systématiquement des êtres qui se noient dans des sensations de hantise innommable. Plus signifiant encore, les deux auteurs ont tendance à lier ces sensations mortifères chez l’adulte à son intériorisation, alors qu’il était enfant, de la mort précoce de sa </w:t>
      </w:r>
      <w:proofErr w:type="gramStart"/>
      <w:r w:rsidR="00374303" w:rsidRPr="00374303">
        <w:lastRenderedPageBreak/>
        <w:t>relation</w:t>
      </w:r>
      <w:proofErr w:type="gramEnd"/>
      <w:r w:rsidR="00374303" w:rsidRPr="00374303">
        <w:t xml:space="preserve"> affective avec son objet parental primaire, c’est-à-dire, le plus souvent, sa mère. Le protagoniste </w:t>
      </w:r>
      <w:proofErr w:type="spellStart"/>
      <w:r w:rsidR="00374303" w:rsidRPr="00374303">
        <w:t>ndiayïen</w:t>
      </w:r>
      <w:proofErr w:type="spellEnd"/>
      <w:r w:rsidR="00374303" w:rsidRPr="00374303">
        <w:t xml:space="preserve"> est universellement hanté par une « mère morte », une mère qui n’est pas littéralement décédée mais qui, pour une raison ou une autre, n’a pas su entretenir de « vivants » rapports psychiques avec son enfant. Comme le souligne </w:t>
      </w:r>
      <w:r w:rsidR="00510877">
        <w:t>Green :</w:t>
      </w:r>
    </w:p>
    <w:p w14:paraId="7324A8EC" w14:textId="77777777" w:rsidR="00510877" w:rsidRDefault="00510877" w:rsidP="00BA5E94">
      <w:pPr>
        <w:pStyle w:val="PAUVK"/>
      </w:pPr>
    </w:p>
    <w:p w14:paraId="60715407" w14:textId="77777777" w:rsidR="00510877" w:rsidRPr="00297E5C" w:rsidRDefault="00510877" w:rsidP="00C16B87">
      <w:pPr>
        <w:pStyle w:val="Quote"/>
        <w:ind w:left="567"/>
        <w:rPr>
          <w:szCs w:val="18"/>
          <w:lang w:val="fr-FR"/>
        </w:rPr>
      </w:pPr>
      <w:r w:rsidRPr="00297E5C">
        <w:rPr>
          <w:szCs w:val="18"/>
          <w:lang w:val="fr-FR"/>
        </w:rPr>
        <w:t xml:space="preserve">[J]e préciserai que ce travail ne traite pas des conséquences psychiques de la mort réelle de la mère, mais plutôt </w:t>
      </w:r>
      <w:proofErr w:type="gramStart"/>
      <w:r w:rsidRPr="00297E5C">
        <w:rPr>
          <w:szCs w:val="18"/>
          <w:lang w:val="fr-FR"/>
        </w:rPr>
        <w:t>d’une imago</w:t>
      </w:r>
      <w:proofErr w:type="gramEnd"/>
      <w:r w:rsidRPr="00297E5C">
        <w:rPr>
          <w:szCs w:val="18"/>
          <w:lang w:val="fr-FR"/>
        </w:rPr>
        <w:t xml:space="preserve"> qui s’est constituée dans la psyché de l’enfant, à la suite d’une dépression maternelle, transformant brutalement l’objet vivant, source de vitalité de l’enfant, en figure lointaine, atone, quasi inanimée…</w:t>
      </w:r>
      <w:r w:rsidR="00F148B0" w:rsidRPr="00297E5C">
        <w:rPr>
          <w:rStyle w:val="FootnoteReference"/>
          <w:vertAlign w:val="superscript"/>
          <w:lang w:val="fr-FR"/>
        </w:rPr>
        <w:footnoteReference w:id="8"/>
      </w:r>
    </w:p>
    <w:p w14:paraId="76B178C4" w14:textId="77777777" w:rsidR="00510F32" w:rsidRDefault="00510F32" w:rsidP="00510F32">
      <w:pPr>
        <w:rPr>
          <w:lang w:val="fr-FR"/>
        </w:rPr>
      </w:pPr>
    </w:p>
    <w:p w14:paraId="1172EA72" w14:textId="77777777" w:rsidR="00477CDC" w:rsidRDefault="00477CDC" w:rsidP="001122D0">
      <w:pPr>
        <w:pStyle w:val="PNUVK"/>
      </w:pPr>
      <w:r w:rsidRPr="0041490D">
        <w:t>La façon dont les écrits de Green et de NDiaye semblent dialoguer ensemble (l’on dirait par communication</w:t>
      </w:r>
      <w:r>
        <w:t xml:space="preserve"> psychique</w:t>
      </w:r>
      <w:r w:rsidRPr="0041490D">
        <w:t xml:space="preserve">) pour voyager dans </w:t>
      </w:r>
      <w:r>
        <w:t>c</w:t>
      </w:r>
      <w:r w:rsidRPr="0041490D">
        <w:t xml:space="preserve">e monde nébuleux de la vie </w:t>
      </w:r>
      <w:r>
        <w:t xml:space="preserve">subjective </w:t>
      </w:r>
      <w:r w:rsidRPr="0041490D">
        <w:t xml:space="preserve">auprès de la </w:t>
      </w:r>
      <w:r>
        <w:t>« </w:t>
      </w:r>
      <w:r w:rsidRPr="0041490D">
        <w:t>mère morte</w:t>
      </w:r>
      <w:r>
        <w:t> »</w:t>
      </w:r>
      <w:r w:rsidRPr="0041490D">
        <w:t xml:space="preserve"> nous permet de voir </w:t>
      </w:r>
      <w:r>
        <w:t>l</w:t>
      </w:r>
      <w:r w:rsidRPr="0041490D">
        <w:t xml:space="preserve">es phénomènes quasi-fantastiques qui ont lieu lors du blocage systématique dans la transmission de l’émotion, la vie et la reconnaissance de soi. </w:t>
      </w:r>
      <w:r>
        <w:t xml:space="preserve">Les deux écrivains </w:t>
      </w:r>
      <w:r w:rsidRPr="0041490D">
        <w:t>nous permettent de tracer des chemins de plus en plus clairs, aussi poétiques que théoriques, entre la dépression infantile et la « psychose blanche »</w:t>
      </w:r>
      <w:r w:rsidRPr="00DE0E7F">
        <w:rPr>
          <w:rStyle w:val="FootnoteReference"/>
          <w:rFonts w:cs="Times New Roman"/>
          <w:sz w:val="22"/>
          <w:szCs w:val="22"/>
          <w:vertAlign w:val="superscript"/>
        </w:rPr>
        <w:footnoteReference w:id="9"/>
      </w:r>
      <w:r w:rsidRPr="0041490D">
        <w:t xml:space="preserve"> chez l’adulte. Surtout ils créent de nouvelles formes de représentation, de nouveaux symboles linguistiques </w:t>
      </w:r>
      <w:r>
        <w:t xml:space="preserve">enfin, de véritables aides thérapeutiques, pour ceux </w:t>
      </w:r>
      <w:r w:rsidRPr="0041490D">
        <w:t>qui nourrissent, malgré eux, des générations floues de demi-fantômes familiaux.</w:t>
      </w:r>
    </w:p>
    <w:p w14:paraId="0098D8D5" w14:textId="77777777" w:rsidR="00CA372A" w:rsidRDefault="00CA372A" w:rsidP="00510F32">
      <w:pPr>
        <w:rPr>
          <w:lang w:val="fr-FR"/>
        </w:rPr>
      </w:pPr>
    </w:p>
    <w:p w14:paraId="02C30673" w14:textId="77777777" w:rsidR="00F65D2B" w:rsidRDefault="00F65D2B" w:rsidP="00510F32">
      <w:pPr>
        <w:rPr>
          <w:lang w:val="fr-FR"/>
        </w:rPr>
      </w:pPr>
    </w:p>
    <w:p w14:paraId="0EDB1D8F" w14:textId="77777777" w:rsidR="00F65D2B" w:rsidRDefault="00F65D2B" w:rsidP="00510F32">
      <w:pPr>
        <w:rPr>
          <w:b/>
          <w:lang w:val="fr-FR"/>
        </w:rPr>
      </w:pPr>
      <w:r w:rsidRPr="00F65D2B">
        <w:rPr>
          <w:b/>
          <w:lang w:val="fr-FR"/>
        </w:rPr>
        <w:t xml:space="preserve">La mère morte </w:t>
      </w:r>
      <w:proofErr w:type="spellStart"/>
      <w:r w:rsidRPr="00F65D2B">
        <w:rPr>
          <w:b/>
          <w:lang w:val="fr-FR"/>
        </w:rPr>
        <w:t>greenienne</w:t>
      </w:r>
      <w:proofErr w:type="spellEnd"/>
      <w:r w:rsidRPr="00F65D2B">
        <w:rPr>
          <w:b/>
          <w:lang w:val="fr-FR"/>
        </w:rPr>
        <w:t xml:space="preserve"> </w:t>
      </w:r>
    </w:p>
    <w:p w14:paraId="0709A345" w14:textId="77777777" w:rsidR="00F65D2B" w:rsidRDefault="00F65D2B" w:rsidP="00510F32">
      <w:pPr>
        <w:rPr>
          <w:lang w:val="fr-FR"/>
        </w:rPr>
      </w:pPr>
    </w:p>
    <w:p w14:paraId="17C94E9F" w14:textId="77777777" w:rsidR="00C932FB" w:rsidRPr="008C4401" w:rsidRDefault="00F65D2B" w:rsidP="001122D0">
      <w:pPr>
        <w:pStyle w:val="PNUVK"/>
      </w:pPr>
      <w:r w:rsidRPr="0041490D">
        <w:t xml:space="preserve">Le complexe de la mère morte selon André Green se définit comme l’inconsciente répétition chez l’adulte d’une dépression qu’il a subie, très souvent à son insu, pendant son enfance. Cette dépression infantile a été vécue aux côtés de son objet parental primaire – dans la </w:t>
      </w:r>
      <w:r w:rsidRPr="0041490D">
        <w:lastRenderedPageBreak/>
        <w:t>plupart des cas, la mère. Cette mère n’est pas capable, pourtant, de voir la souffrance de son enfant puisqu’elle aussi est enfermée dans une prison mentale. Comme dit Green très simplement</w:t>
      </w:r>
      <w:r>
        <w:t> </w:t>
      </w:r>
      <w:r w:rsidRPr="00F65D2B">
        <w:t>: « Le trait essentiel de cette dépression est qu’elle a lieu en présence de l’objet [parental], lui-même absorbé par un deuil ».</w:t>
      </w:r>
      <w:r w:rsidRPr="00DE0E7F">
        <w:rPr>
          <w:rStyle w:val="FootnoteReference"/>
          <w:sz w:val="22"/>
          <w:szCs w:val="22"/>
          <w:vertAlign w:val="superscript"/>
        </w:rPr>
        <w:footnoteReference w:id="10"/>
      </w:r>
      <w:r w:rsidRPr="00F65D2B">
        <w:t xml:space="preserve"> </w:t>
      </w:r>
      <w:r w:rsidR="00C932FB" w:rsidRPr="0041490D">
        <w:t>Le sujet qui souffre du complexe de la mère morte a dû survivre, quand il était très jeune</w:t>
      </w:r>
      <w:r w:rsidR="00C932FB">
        <w:t>,</w:t>
      </w:r>
      <w:r w:rsidR="00C932FB" w:rsidRPr="0041490D">
        <w:t xml:space="preserve"> à la dépression de sa propre mère, une dépression qui est généralement désavouée, et qui reste, pour l’enfant, énigmatique. </w:t>
      </w:r>
      <w:r w:rsidR="00C932FB">
        <w:t>Il</w:t>
      </w:r>
      <w:r w:rsidR="00C932FB" w:rsidRPr="0041490D">
        <w:t xml:space="preserve"> ne peut s’expliquer pourquoi sa mère n’agit plus dans sa vie psychique. Plus déstabilisant encore, l’enfant se rend compte que sa mère est bien là physiquement, mais que sur le plan émotionnel, sur le plan affectif, elle est « morte ». Les réponses de l’enfant face à cette situation extrêmement déstabilisante sont nombreuses et complexes.</w:t>
      </w:r>
      <w:r w:rsidR="00C932FB" w:rsidRPr="00DE0E7F">
        <w:rPr>
          <w:rStyle w:val="FootnoteReference"/>
          <w:rFonts w:cs="Times New Roman"/>
          <w:sz w:val="22"/>
          <w:szCs w:val="22"/>
          <w:vertAlign w:val="superscript"/>
        </w:rPr>
        <w:footnoteReference w:id="11"/>
      </w:r>
      <w:r w:rsidR="00C932FB" w:rsidRPr="00C932FB">
        <w:t xml:space="preserve"> </w:t>
      </w:r>
      <w:r w:rsidR="00C932FB" w:rsidRPr="0041490D">
        <w:t>Tout enfant, selon les psychanalystes des relations d’objets, doit intérioriser l’imago de son objet parental primaire (souvent divisé en plusieurs morceaux psychiques), qu’il garde en lui pour se réconforter pendant les moments d’absence de l’objet parental lui-même. C’est avec ces objets intériorisés que l’enfant commence à développer ses capacités à fantasmer, à jouer, à gérer ses émotions, à aimer et à haïr.</w:t>
      </w:r>
      <w:r w:rsidR="00C932FB" w:rsidRPr="00DE0E7F">
        <w:rPr>
          <w:rStyle w:val="FootnoteReference"/>
          <w:rFonts w:cs="Times New Roman"/>
          <w:sz w:val="22"/>
          <w:szCs w:val="22"/>
          <w:vertAlign w:val="superscript"/>
        </w:rPr>
        <w:footnoteReference w:id="12"/>
      </w:r>
      <w:r w:rsidR="00C932FB" w:rsidRPr="0041490D">
        <w:t xml:space="preserve"> Dans le cas de l’enfant de la mère morte, pourtant, l’intériorisation doit avoir lieu avec des objets maternels qui ne sont plus vivants</w:t>
      </w:r>
      <w:r w:rsidR="00C932FB">
        <w:t xml:space="preserve"> : l’enfant intériorise </w:t>
      </w:r>
      <w:r w:rsidR="00C932FB" w:rsidRPr="0041490D">
        <w:t xml:space="preserve">de </w:t>
      </w:r>
      <w:r w:rsidR="00C932FB">
        <w:t xml:space="preserve">la </w:t>
      </w:r>
      <w:r w:rsidR="00C932FB" w:rsidRPr="0041490D">
        <w:t>mère</w:t>
      </w:r>
      <w:r w:rsidR="00C932FB">
        <w:t xml:space="preserve"> fantomatique</w:t>
      </w:r>
      <w:r w:rsidR="00C932FB" w:rsidRPr="0041490D">
        <w:t xml:space="preserve">. </w:t>
      </w:r>
      <w:r w:rsidR="00C932FB">
        <w:t>Selon Green, il</w:t>
      </w:r>
      <w:r w:rsidR="00C932FB" w:rsidRPr="0041490D">
        <w:t xml:space="preserve"> développe un rapport « blanc » avec l’objet maternel qu’il porte en lui</w:t>
      </w:r>
      <w:r w:rsidR="00C932FB">
        <w:t>, un objet qui n’en est pas un, un (non-) objet qui est étrangement absent et présent à la fois :</w:t>
      </w:r>
    </w:p>
    <w:p w14:paraId="20D9DC9A" w14:textId="77777777" w:rsidR="00C932FB" w:rsidRDefault="00C932FB" w:rsidP="001122D0">
      <w:pPr>
        <w:pStyle w:val="PNUVK"/>
      </w:pPr>
    </w:p>
    <w:p w14:paraId="60F0CFEE" w14:textId="77777777" w:rsidR="000E7E36" w:rsidRDefault="00C932FB" w:rsidP="000E7E36">
      <w:pPr>
        <w:pStyle w:val="Quote"/>
        <w:ind w:left="567"/>
        <w:rPr>
          <w:lang w:val="fr-FR"/>
        </w:rPr>
      </w:pPr>
      <w:r w:rsidRPr="00984DE3">
        <w:rPr>
          <w:lang w:val="fr-FR"/>
        </w:rPr>
        <w:t xml:space="preserve">[I]l s’agit moins d’un mauvais sein qui ne se donne pas que d’un sein qui, même lorsqu’il se donne, est un sein absent (et non perdu), absorbé par la </w:t>
      </w:r>
      <w:proofErr w:type="gramStart"/>
      <w:r w:rsidRPr="00984DE3">
        <w:rPr>
          <w:lang w:val="fr-FR"/>
        </w:rPr>
        <w:lastRenderedPageBreak/>
        <w:t>nostalgie</w:t>
      </w:r>
      <w:proofErr w:type="gramEnd"/>
      <w:r w:rsidRPr="00984DE3">
        <w:rPr>
          <w:lang w:val="fr-FR"/>
        </w:rPr>
        <w:t xml:space="preserve"> d’une relation regrettée. </w:t>
      </w:r>
      <w:r w:rsidRPr="000E7E36">
        <w:rPr>
          <w:lang w:val="fr-FR"/>
        </w:rPr>
        <w:t>Un sein qui ne peut être ni comblé ni comblant.</w:t>
      </w:r>
      <w:r w:rsidRPr="001122D0">
        <w:rPr>
          <w:rStyle w:val="FootnoteReference"/>
          <w:szCs w:val="22"/>
          <w:vertAlign w:val="superscript"/>
        </w:rPr>
        <w:footnoteReference w:id="13"/>
      </w:r>
      <w:r w:rsidR="001122D0" w:rsidRPr="000E7E36">
        <w:rPr>
          <w:lang w:val="fr-FR"/>
        </w:rPr>
        <w:t xml:space="preserve"> </w:t>
      </w:r>
    </w:p>
    <w:p w14:paraId="1165C6B3" w14:textId="77777777" w:rsidR="000E7E36" w:rsidRDefault="000E7E36" w:rsidP="000E7E36">
      <w:pPr>
        <w:rPr>
          <w:lang w:val="fr-FR"/>
        </w:rPr>
      </w:pPr>
    </w:p>
    <w:p w14:paraId="08848C1C" w14:textId="77777777" w:rsidR="000E7E36" w:rsidRPr="0041490D" w:rsidRDefault="000E7E36" w:rsidP="000E7E36">
      <w:pPr>
        <w:pStyle w:val="PNUVK"/>
      </w:pPr>
      <w:r>
        <w:t xml:space="preserve">L’enfant </w:t>
      </w:r>
      <w:r w:rsidRPr="0041490D">
        <w:t xml:space="preserve">ne peut l’aimer, </w:t>
      </w:r>
      <w:r>
        <w:t xml:space="preserve">ce sein « absent », </w:t>
      </w:r>
      <w:r w:rsidRPr="0041490D">
        <w:t>puisque c’est quelque chose qui ne le nourrit aucunement sur le plan affectif, mais en même temps il ne peut le haïr. Il voudrait bien le haïr, puisque les relations qu’il entretient avec lui sont quand même profondément désagréables, mais il ne peut pas se permettre ce luxe : il est terrifié</w:t>
      </w:r>
      <w:r>
        <w:t xml:space="preserve"> à l’idée</w:t>
      </w:r>
      <w:r w:rsidRPr="0041490D">
        <w:t xml:space="preserve"> d’une réaction ag</w:t>
      </w:r>
      <w:r>
        <w:t>ressive de la part de la mère, de l’abandon maternel absolu</w:t>
      </w:r>
      <w:r w:rsidRPr="0041490D">
        <w:t xml:space="preserve">, et se dit que mieux vaut une mère morte que pas de mère du tout. </w:t>
      </w:r>
    </w:p>
    <w:p w14:paraId="5FFFC1CC" w14:textId="77777777" w:rsidR="000E7E36" w:rsidRPr="008C4401" w:rsidRDefault="000E7E36" w:rsidP="00BA5E94">
      <w:pPr>
        <w:pStyle w:val="PAUVK"/>
      </w:pPr>
      <w:r w:rsidRPr="0041490D">
        <w:t xml:space="preserve">L’enfant ne ressent, donc, qu’une </w:t>
      </w:r>
      <w:r>
        <w:t>pesante</w:t>
      </w:r>
      <w:r w:rsidRPr="0041490D">
        <w:t xml:space="preserve"> douleur psychique, sans amour et sans haine. Il a l’impression d’être responsable pour la disparition de sa mère, et commence à concevoir tout un système d’explications et d’accusations autodestructrices : dans le langage freudien, il conçoit un surmoi féroce et implacable. Il ne peut pas </w:t>
      </w:r>
      <w:r>
        <w:t>s’</w:t>
      </w:r>
      <w:r w:rsidRPr="0041490D">
        <w:t xml:space="preserve">expliquer pourquoi il a été ainsi abandonné, surtout d’une manière si ambivalente et difficile à cerner. Le monde semble avoir perdu toutes ses significations ; c’est un monde désormais plein de trous. Puisque le père est, dans la plupart des cas de mère morte, lui-même lointain ou inaccessible, l’enfant n’a personne avec qui il puisse explorer la situation. Il se dédie, donc, à l’échafaudage de toute une gamme d’hypothèses et de ratiocinations qui chercherait à déplacer la source du conflit vers le monde externe. Il se sent contraint </w:t>
      </w:r>
      <w:r>
        <w:t>à</w:t>
      </w:r>
      <w:r w:rsidRPr="0041490D">
        <w:t xml:space="preserve"> réfléchir, poussé vers l’imagination. Les capacités intellectuelles et créatives de l’enfant de la mère morte seront</w:t>
      </w:r>
      <w:r>
        <w:t xml:space="preserve"> donc</w:t>
      </w:r>
      <w:r w:rsidRPr="0041490D">
        <w:t>, dans la plupart des cas, appréciablement</w:t>
      </w:r>
      <w:r>
        <w:t xml:space="preserve"> plus développées</w:t>
      </w:r>
      <w:r w:rsidRPr="0041490D">
        <w:t>.</w:t>
      </w:r>
    </w:p>
    <w:p w14:paraId="71BA8EB7" w14:textId="77777777" w:rsidR="000E7E36" w:rsidRDefault="000E7E36" w:rsidP="000E7E36">
      <w:pPr>
        <w:rPr>
          <w:lang w:val="fr-FR"/>
        </w:rPr>
      </w:pPr>
    </w:p>
    <w:p w14:paraId="1D01F9FE" w14:textId="77777777" w:rsidR="0020497B" w:rsidRDefault="0020497B" w:rsidP="000E7E36">
      <w:pPr>
        <w:rPr>
          <w:lang w:val="fr-FR"/>
        </w:rPr>
      </w:pPr>
    </w:p>
    <w:p w14:paraId="6FE05452" w14:textId="77777777" w:rsidR="0020497B" w:rsidRPr="0020497B" w:rsidRDefault="0020497B" w:rsidP="000E7E36">
      <w:pPr>
        <w:rPr>
          <w:b/>
          <w:lang w:val="fr-FR"/>
        </w:rPr>
      </w:pPr>
      <w:r w:rsidRPr="0020497B">
        <w:rPr>
          <w:b/>
          <w:lang w:val="fr-FR"/>
        </w:rPr>
        <w:t xml:space="preserve">Des blancs qui hantent : la mentalité fantomatique </w:t>
      </w:r>
    </w:p>
    <w:p w14:paraId="0C0FBFD5" w14:textId="77777777" w:rsidR="0020497B" w:rsidRDefault="0020497B" w:rsidP="000E7E36">
      <w:pPr>
        <w:rPr>
          <w:lang w:val="fr-FR"/>
        </w:rPr>
      </w:pPr>
    </w:p>
    <w:p w14:paraId="533F1363" w14:textId="77777777" w:rsidR="0020497B" w:rsidRDefault="0020497B" w:rsidP="0020497B">
      <w:pPr>
        <w:pStyle w:val="PNUVK"/>
      </w:pPr>
      <w:r w:rsidRPr="0041490D">
        <w:t>Green nous apprend</w:t>
      </w:r>
      <w:r>
        <w:t xml:space="preserve"> que </w:t>
      </w:r>
      <w:r w:rsidRPr="0041490D">
        <w:t>l’</w:t>
      </w:r>
      <w:r>
        <w:t>enfant d’une</w:t>
      </w:r>
      <w:r w:rsidRPr="0041490D">
        <w:t xml:space="preserve"> mère morte n’intériorise ni </w:t>
      </w:r>
      <w:r>
        <w:t>un bon</w:t>
      </w:r>
      <w:r w:rsidRPr="0041490D">
        <w:t xml:space="preserve"> objet ni </w:t>
      </w:r>
      <w:r>
        <w:t>un mauvais objet, mais toujours</w:t>
      </w:r>
      <w:r w:rsidRPr="0041490D">
        <w:t xml:space="preserve"> </w:t>
      </w:r>
      <w:r>
        <w:t>un</w:t>
      </w:r>
      <w:r w:rsidRPr="0041490D">
        <w:t xml:space="preserve"> objet </w:t>
      </w:r>
      <w:r>
        <w:t xml:space="preserve">absent. </w:t>
      </w:r>
      <w:r w:rsidRPr="0041490D">
        <w:t xml:space="preserve">Plus tard dans son </w:t>
      </w:r>
      <w:r>
        <w:t>article,</w:t>
      </w:r>
      <w:r w:rsidRPr="0041490D">
        <w:t xml:space="preserve"> Green</w:t>
      </w:r>
      <w:r>
        <w:t xml:space="preserve"> évoque </w:t>
      </w:r>
      <w:r w:rsidRPr="0041490D">
        <w:t>l’impossibilité pour ce genre d’enfant d’intérioriser</w:t>
      </w:r>
      <w:r>
        <w:t>, adulte,</w:t>
      </w:r>
      <w:r w:rsidRPr="0041490D">
        <w:t xml:space="preserve"> </w:t>
      </w:r>
      <w:r w:rsidRPr="0041490D">
        <w:rPr>
          <w:i/>
        </w:rPr>
        <w:t>quoi que ce soit</w:t>
      </w:r>
      <w:r w:rsidRPr="0041490D">
        <w:t>. Ce genre d’enfant se trouvera</w:t>
      </w:r>
      <w:r>
        <w:t xml:space="preserve"> plus tard </w:t>
      </w:r>
    </w:p>
    <w:p w14:paraId="35D7A1F8" w14:textId="77777777" w:rsidR="0020497B" w:rsidRDefault="0020497B" w:rsidP="0020497B">
      <w:pPr>
        <w:pStyle w:val="Quote"/>
        <w:ind w:left="567"/>
        <w:rPr>
          <w:rFonts w:eastAsia="Times New Roman"/>
          <w:iCs w:val="0"/>
          <w:color w:val="auto"/>
          <w:kern w:val="1"/>
          <w:sz w:val="22"/>
          <w:lang w:val="fr-FR" w:eastAsia="ar-SA"/>
        </w:rPr>
      </w:pPr>
    </w:p>
    <w:p w14:paraId="2C6D7B3D" w14:textId="77777777" w:rsidR="0020497B" w:rsidRDefault="0020497B" w:rsidP="0020497B">
      <w:pPr>
        <w:pStyle w:val="Quote"/>
        <w:ind w:left="567"/>
        <w:rPr>
          <w:lang w:val="fr-FR"/>
        </w:rPr>
      </w:pPr>
      <w:proofErr w:type="gramStart"/>
      <w:r w:rsidRPr="0041490D">
        <w:rPr>
          <w:lang w:val="fr-FR"/>
        </w:rPr>
        <w:t>en</w:t>
      </w:r>
      <w:proofErr w:type="gramEnd"/>
      <w:r w:rsidRPr="0041490D">
        <w:rPr>
          <w:lang w:val="fr-FR"/>
        </w:rPr>
        <w:t xml:space="preserve"> quête d’un objet </w:t>
      </w:r>
      <w:proofErr w:type="spellStart"/>
      <w:r w:rsidRPr="0041490D">
        <w:rPr>
          <w:lang w:val="fr-FR"/>
        </w:rPr>
        <w:t>inintrojectable</w:t>
      </w:r>
      <w:proofErr w:type="spellEnd"/>
      <w:r w:rsidRPr="0041490D">
        <w:rPr>
          <w:lang w:val="fr-FR"/>
        </w:rPr>
        <w:t xml:space="preserve">, sans possibilité d’y renoncer ou de le perdre et sans guère plus de possibilité d’accepter son introjection dans le Moi </w:t>
      </w:r>
      <w:r w:rsidRPr="0041490D">
        <w:rPr>
          <w:lang w:val="fr-FR"/>
        </w:rPr>
        <w:lastRenderedPageBreak/>
        <w:t>investi par la mère morte. En somme, les objets du sujet restent toujours à la limite du Moi, ni complètemen</w:t>
      </w:r>
      <w:r>
        <w:rPr>
          <w:lang w:val="fr-FR"/>
        </w:rPr>
        <w:t>t dedans, ni tout à fait dehors</w:t>
      </w:r>
      <w:r w:rsidRPr="0041490D">
        <w:rPr>
          <w:lang w:val="fr-FR"/>
        </w:rPr>
        <w:t>.</w:t>
      </w:r>
      <w:r w:rsidRPr="00DE0E7F">
        <w:rPr>
          <w:rStyle w:val="FootnoteReference"/>
          <w:vertAlign w:val="superscript"/>
          <w:lang w:val="fr-FR"/>
        </w:rPr>
        <w:footnoteReference w:id="14"/>
      </w:r>
      <w:r w:rsidRPr="00DE0E7F">
        <w:rPr>
          <w:vertAlign w:val="superscript"/>
          <w:lang w:val="fr-FR"/>
        </w:rPr>
        <w:t xml:space="preserve"> </w:t>
      </w:r>
    </w:p>
    <w:p w14:paraId="7F1DAC52" w14:textId="77777777" w:rsidR="0020497B" w:rsidRPr="0020497B" w:rsidRDefault="0020497B" w:rsidP="0020497B">
      <w:pPr>
        <w:rPr>
          <w:lang w:val="fr-FR"/>
        </w:rPr>
      </w:pPr>
    </w:p>
    <w:p w14:paraId="3068CBD6" w14:textId="77777777" w:rsidR="0020497B" w:rsidRDefault="0020497B" w:rsidP="0020497B">
      <w:pPr>
        <w:pStyle w:val="PNUVK"/>
      </w:pPr>
      <w:r>
        <w:t>Et q</w:t>
      </w:r>
      <w:r w:rsidRPr="0041490D">
        <w:t>uand il s’agit de s’identifier aux imagos qui sont censés êt</w:t>
      </w:r>
      <w:r>
        <w:t>re à l’intérieur, un enfant de</w:t>
      </w:r>
      <w:r w:rsidRPr="0041490D">
        <w:t xml:space="preserve"> mère morte </w:t>
      </w:r>
      <w:r>
        <w:t xml:space="preserve">(qui n’a intériorisé que l’absence) </w:t>
      </w:r>
      <w:r w:rsidRPr="0041490D">
        <w:t>trouve</w:t>
      </w:r>
      <w:r>
        <w:t>ra que ses capacités pour l’</w:t>
      </w:r>
      <w:proofErr w:type="spellStart"/>
      <w:r>
        <w:t>auto-identification</w:t>
      </w:r>
      <w:proofErr w:type="spellEnd"/>
      <w:r>
        <w:t>, pour l’expérience de soi-même comme objet humain et vivant, sont bloquées, puisqu’il y eu :</w:t>
      </w:r>
    </w:p>
    <w:p w14:paraId="3F60A8EF" w14:textId="77777777" w:rsidR="00F82CF2" w:rsidRDefault="00F82CF2" w:rsidP="0020497B">
      <w:pPr>
        <w:pStyle w:val="PNUVK"/>
      </w:pPr>
    </w:p>
    <w:p w14:paraId="7A3DAAA5" w14:textId="77777777" w:rsidR="00F82CF2" w:rsidRPr="00F82CF2" w:rsidRDefault="00F82CF2" w:rsidP="00F82CF2">
      <w:pPr>
        <w:pStyle w:val="Quote"/>
        <w:ind w:left="567"/>
        <w:rPr>
          <w:lang w:val="fr-FR"/>
        </w:rPr>
      </w:pPr>
      <w:r w:rsidRPr="00F82CF2">
        <w:rPr>
          <w:lang w:val="fr-FR"/>
        </w:rPr>
        <w:t>…enkystement de l’objet et effacement de sa trace par désinvestissement, il y a eu identification primaire à la mère morte et transformation de l’identification positive en identification négative, c’est-à-dire au trou laissé par le désinvestissement et non à l’objet.</w:t>
      </w:r>
      <w:r w:rsidRPr="00DE0E7F">
        <w:rPr>
          <w:rStyle w:val="FootnoteReference"/>
          <w:vertAlign w:val="superscript"/>
        </w:rPr>
        <w:footnoteReference w:id="15"/>
      </w:r>
      <w:r w:rsidRPr="00DE0E7F">
        <w:rPr>
          <w:vertAlign w:val="superscript"/>
          <w:lang w:val="fr-FR"/>
        </w:rPr>
        <w:t xml:space="preserve"> </w:t>
      </w:r>
    </w:p>
    <w:p w14:paraId="2AC86345" w14:textId="77777777" w:rsidR="00F82CF2" w:rsidRPr="00F82CF2" w:rsidRDefault="00F82CF2" w:rsidP="00F82CF2">
      <w:pPr>
        <w:rPr>
          <w:lang w:val="fr-FR"/>
        </w:rPr>
      </w:pPr>
    </w:p>
    <w:p w14:paraId="6495141F" w14:textId="77777777" w:rsidR="00F82CF2" w:rsidRPr="00F82CF2" w:rsidRDefault="00F82CF2" w:rsidP="00DE0E7F">
      <w:pPr>
        <w:pStyle w:val="PNUVK"/>
      </w:pPr>
      <w:r w:rsidRPr="0041490D">
        <w:t>Le sujet lui-même se sent</w:t>
      </w:r>
      <w:r>
        <w:t>ira « troué », perpétuellement hanté par le</w:t>
      </w:r>
      <w:r w:rsidRPr="0041490D">
        <w:t xml:space="preserve"> danger de </w:t>
      </w:r>
      <w:r>
        <w:t>sa propre dissolution de l’intérieur</w:t>
      </w:r>
      <w:r w:rsidRPr="0041490D">
        <w:t>.</w:t>
      </w:r>
      <w:r>
        <w:t xml:space="preserve"> </w:t>
      </w:r>
      <w:r w:rsidRPr="0041490D">
        <w:t xml:space="preserve">Le plus grand souci pour l’enfant </w:t>
      </w:r>
      <w:r>
        <w:t xml:space="preserve">adulte </w:t>
      </w:r>
      <w:r w:rsidRPr="0041490D">
        <w:t xml:space="preserve">d’une mère morte, selon Green, sera </w:t>
      </w:r>
      <w:r>
        <w:t>s</w:t>
      </w:r>
      <w:r w:rsidRPr="0041490D">
        <w:t>a vie amoureuse. Puisque l’intériorisation de nouveaux objets s’avère extrêmement difficile, la capacité du sujet à aimer en tant</w:t>
      </w:r>
      <w:r>
        <w:t xml:space="preserve"> qu’adulte se trouve endommagée. Il a développé un</w:t>
      </w:r>
      <w:r w:rsidR="00DE0E7F">
        <w:t xml:space="preserve"> « </w:t>
      </w:r>
      <w:r w:rsidRPr="00F82CF2">
        <w:rPr>
          <w:i/>
        </w:rPr>
        <w:t>noyau froid</w:t>
      </w:r>
      <w:r w:rsidRPr="00F82CF2">
        <w:t xml:space="preserve"> [c’est Green qui souligne], qui sera ultérieurement dépassé mais qui laisse </w:t>
      </w:r>
      <w:proofErr w:type="gramStart"/>
      <w:r w:rsidRPr="00F82CF2">
        <w:t>un marque indélébile</w:t>
      </w:r>
      <w:proofErr w:type="gramEnd"/>
      <w:r w:rsidRPr="00F82CF2">
        <w:t xml:space="preserve"> sur les investissements érotiques des sujets en question.</w:t>
      </w:r>
      <w:r w:rsidR="00DE0E7F">
        <w:t> »</w:t>
      </w:r>
      <w:r w:rsidRPr="00DE0E7F">
        <w:rPr>
          <w:rStyle w:val="FootnoteReference"/>
          <w:sz w:val="22"/>
          <w:szCs w:val="22"/>
          <w:vertAlign w:val="superscript"/>
        </w:rPr>
        <w:footnoteReference w:id="16"/>
      </w:r>
      <w:r w:rsidRPr="00F82CF2">
        <w:t xml:space="preserve"> </w:t>
      </w:r>
    </w:p>
    <w:p w14:paraId="4631E318" w14:textId="77777777" w:rsidR="00F82CF2" w:rsidRDefault="00F82CF2" w:rsidP="00F82CF2">
      <w:pPr>
        <w:pStyle w:val="PNUVK"/>
      </w:pPr>
      <w:r>
        <w:t>Mais le sujet adulte n’est</w:t>
      </w:r>
      <w:r w:rsidRPr="0041490D">
        <w:t xml:space="preserve"> conscient </w:t>
      </w:r>
      <w:r>
        <w:t xml:space="preserve">ni </w:t>
      </w:r>
      <w:r w:rsidRPr="0041490D">
        <w:t>de ce</w:t>
      </w:r>
      <w:r>
        <w:t xml:space="preserve"> « noyau froid » ni des traces fantomatiques qu’il a laissées, et auxquelles le sujet s’accroche avec une si triste </w:t>
      </w:r>
      <w:r w:rsidRPr="0041490D">
        <w:t>détermination. Le refoulement</w:t>
      </w:r>
      <w:r>
        <w:t xml:space="preserve"> a effacé tout souvenir de la silencieuse mort maternelle</w:t>
      </w:r>
      <w:r w:rsidRPr="0041490D">
        <w:t xml:space="preserve"> et de la dépression infantile qui l’a suivie. Elles restent tapie</w:t>
      </w:r>
      <w:r>
        <w:t>s juste en dessous du discours « blanc »</w:t>
      </w:r>
      <w:r w:rsidRPr="0041490D">
        <w:t xml:space="preserve"> de l’enfant adulte :</w:t>
      </w:r>
    </w:p>
    <w:p w14:paraId="02E1F6E6" w14:textId="77777777" w:rsidR="00F82CF2" w:rsidRDefault="00F82CF2" w:rsidP="00F82CF2">
      <w:pPr>
        <w:pStyle w:val="PNUVK"/>
      </w:pPr>
    </w:p>
    <w:p w14:paraId="31C98D9A" w14:textId="77777777" w:rsidR="00F82CF2" w:rsidRDefault="00F82CF2" w:rsidP="00F82CF2">
      <w:pPr>
        <w:pStyle w:val="PNUVK"/>
        <w:ind w:left="567"/>
      </w:pPr>
      <w:r w:rsidRPr="00F82CF2">
        <w:rPr>
          <w:rStyle w:val="ZitatZchn"/>
        </w:rPr>
        <w:t>Elle [la mère morte] avait été enterrée vive, mais son tombeau lui-même avait disparu. Le trou qui gisait à sa place faisait redouter la solitude, comme si le sujet risquait d’y sombrer corps et biens.</w:t>
      </w:r>
      <w:r w:rsidRPr="00DE0E7F">
        <w:rPr>
          <w:rStyle w:val="FootnoteReference"/>
          <w:iCs/>
          <w:color w:val="000000" w:themeColor="text1"/>
          <w:vertAlign w:val="superscript"/>
        </w:rPr>
        <w:footnoteReference w:id="17"/>
      </w:r>
      <w:r>
        <w:t xml:space="preserve"> </w:t>
      </w:r>
    </w:p>
    <w:p w14:paraId="1C4A21B2" w14:textId="77777777" w:rsidR="00F82CF2" w:rsidRPr="008C4401" w:rsidRDefault="00F82CF2" w:rsidP="00F82CF2">
      <w:pPr>
        <w:pStyle w:val="PNUVK"/>
        <w:ind w:left="567"/>
      </w:pPr>
    </w:p>
    <w:p w14:paraId="62FB5E7D" w14:textId="77777777" w:rsidR="00F82CF2" w:rsidRPr="0041490D" w:rsidRDefault="00F82CF2" w:rsidP="00F82CF2">
      <w:pPr>
        <w:pStyle w:val="PNUVK"/>
      </w:pPr>
      <w:r w:rsidRPr="0041490D">
        <w:t xml:space="preserve">Comme nous </w:t>
      </w:r>
      <w:r>
        <w:t>l’</w:t>
      </w:r>
      <w:r w:rsidRPr="0041490D">
        <w:t>avons déjà remarqué, quoique les protagonistes de Marie NDiaye se sentent d’habitude en quelque sorte hanté</w:t>
      </w:r>
      <w:r>
        <w:t>s, il n’est pas souvent trè</w:t>
      </w:r>
      <w:r w:rsidRPr="0041490D">
        <w:t xml:space="preserve">s clair si la chose (ou la non-chose) qui </w:t>
      </w:r>
      <w:r>
        <w:t xml:space="preserve">les </w:t>
      </w:r>
      <w:r w:rsidRPr="0041490D">
        <w:t>hante est en fait morte, vivante, ou entre ces deux</w:t>
      </w:r>
      <w:r>
        <w:t xml:space="preserve"> états. Aux exemples déjà </w:t>
      </w:r>
      <w:r>
        <w:lastRenderedPageBreak/>
        <w:t>évoqués des nombreuses</w:t>
      </w:r>
      <w:r w:rsidRPr="0041490D">
        <w:t xml:space="preserve"> </w:t>
      </w:r>
      <w:r>
        <w:t>« </w:t>
      </w:r>
      <w:r w:rsidRPr="0041490D">
        <w:t>femmes en vert</w:t>
      </w:r>
      <w:r>
        <w:t> »</w:t>
      </w:r>
      <w:r w:rsidRPr="0041490D">
        <w:t xml:space="preserve"> de l’</w:t>
      </w:r>
      <w:r w:rsidRPr="0041490D">
        <w:rPr>
          <w:i/>
        </w:rPr>
        <w:t>Autoportrait</w:t>
      </w:r>
      <w:r w:rsidRPr="0041490D">
        <w:t xml:space="preserve"> et de la femme et l’enfant mystérieusement disparus d’Herman dans </w:t>
      </w:r>
      <w:r w:rsidRPr="0041490D">
        <w:rPr>
          <w:i/>
        </w:rPr>
        <w:t>Un temps de saison</w:t>
      </w:r>
      <w:r w:rsidRPr="0041490D">
        <w:t>, l’on pourrait ajouter la voix sans corps qui parle avec Maman</w:t>
      </w:r>
      <w:r>
        <w:t xml:space="preserve"> qui délire</w:t>
      </w:r>
      <w:r w:rsidRPr="0041490D">
        <w:t xml:space="preserve"> au milieu de </w:t>
      </w:r>
      <w:r w:rsidRPr="0041490D">
        <w:rPr>
          <w:i/>
        </w:rPr>
        <w:t>Papa doit manger</w:t>
      </w:r>
      <w:r w:rsidR="00592C4F" w:rsidRPr="00592C4F">
        <w:rPr>
          <w:rStyle w:val="FootnoteReference"/>
          <w:sz w:val="22"/>
          <w:szCs w:val="22"/>
          <w:vertAlign w:val="superscript"/>
        </w:rPr>
        <w:footnoteReference w:id="18"/>
      </w:r>
      <w:r w:rsidRPr="0041490D">
        <w:t xml:space="preserve">, le bébé spectral de </w:t>
      </w:r>
      <w:r>
        <w:t xml:space="preserve">la malheureuse victime de viols collectifs, </w:t>
      </w:r>
      <w:r w:rsidRPr="0041490D">
        <w:t>Djamila</w:t>
      </w:r>
      <w:r>
        <w:t>,</w:t>
      </w:r>
      <w:r w:rsidRPr="0041490D">
        <w:t xml:space="preserve"> dans </w:t>
      </w:r>
      <w:r w:rsidRPr="0041490D">
        <w:rPr>
          <w:i/>
        </w:rPr>
        <w:t>Rien d’humain</w:t>
      </w:r>
      <w:r w:rsidR="00592C4F" w:rsidRPr="00592C4F">
        <w:rPr>
          <w:rStyle w:val="FootnoteReference"/>
          <w:sz w:val="22"/>
          <w:szCs w:val="22"/>
          <w:vertAlign w:val="superscript"/>
        </w:rPr>
        <w:footnoteReference w:id="19"/>
      </w:r>
      <w:r w:rsidRPr="0041490D">
        <w:t>, ou bien les entités qui parlent à</w:t>
      </w:r>
      <w:r>
        <w:t xml:space="preserve"> l’inté</w:t>
      </w:r>
      <w:r w:rsidRPr="0041490D">
        <w:t>rieur du fils adoptif</w:t>
      </w:r>
      <w:r>
        <w:t xml:space="preserve"> « de couleur »</w:t>
      </w:r>
      <w:r w:rsidRPr="0041490D">
        <w:t xml:space="preserve"> dans </w:t>
      </w:r>
      <w:r w:rsidRPr="0041490D">
        <w:rPr>
          <w:i/>
        </w:rPr>
        <w:t>Les Grandes Personnes</w:t>
      </w:r>
      <w:r w:rsidR="00592C4F" w:rsidRPr="00592C4F">
        <w:rPr>
          <w:rStyle w:val="FootnoteReference"/>
          <w:sz w:val="22"/>
          <w:szCs w:val="22"/>
          <w:vertAlign w:val="superscript"/>
        </w:rPr>
        <w:footnoteReference w:id="20"/>
      </w:r>
      <w:r w:rsidRPr="0041490D">
        <w:t>. Mais la théorie d’Andr</w:t>
      </w:r>
      <w:r>
        <w:t>é</w:t>
      </w:r>
      <w:r w:rsidRPr="0041490D">
        <w:t xml:space="preserve"> Green selon laquelle un sujet adulte serait hanté par l’absence blanche de sa propre </w:t>
      </w:r>
      <w:r>
        <w:t>« </w:t>
      </w:r>
      <w:r w:rsidRPr="0041490D">
        <w:t>mère morte</w:t>
      </w:r>
      <w:r>
        <w:t> »</w:t>
      </w:r>
      <w:r w:rsidRPr="0041490D">
        <w:t xml:space="preserve"> fournit un cadre révélateur pour mieux comprendre non seulement les obscures présences/absences </w:t>
      </w:r>
      <w:proofErr w:type="spellStart"/>
      <w:r>
        <w:t>ndiayïen</w:t>
      </w:r>
      <w:r w:rsidRPr="0041490D">
        <w:t>nes</w:t>
      </w:r>
      <w:proofErr w:type="spellEnd"/>
      <w:r w:rsidRPr="0041490D">
        <w:t xml:space="preserve"> comme celles que l’on vient d’évoquer, mais aussi </w:t>
      </w:r>
      <w:r w:rsidRPr="0041490D">
        <w:rPr>
          <w:i/>
        </w:rPr>
        <w:t>la st</w:t>
      </w:r>
      <w:r>
        <w:rPr>
          <w:i/>
        </w:rPr>
        <w:t>r</w:t>
      </w:r>
      <w:r w:rsidRPr="0041490D">
        <w:rPr>
          <w:i/>
        </w:rPr>
        <w:t>ucture mentale fantomatique</w:t>
      </w:r>
      <w:r w:rsidRPr="0041490D">
        <w:t xml:space="preserve"> des protagonistes de NDiaye. </w:t>
      </w:r>
      <w:r>
        <w:t>Ces protagonistes ont une maniè</w:t>
      </w:r>
      <w:r w:rsidRPr="0041490D">
        <w:t>re de penser</w:t>
      </w:r>
      <w:r>
        <w:t xml:space="preserve"> qui est caractérisé</w:t>
      </w:r>
      <w:r w:rsidRPr="0041490D">
        <w:t>e par l’auto-accusation obses</w:t>
      </w:r>
      <w:r>
        <w:t>sionnelle et par l’impossibilité d’inté</w:t>
      </w:r>
      <w:r w:rsidRPr="0041490D">
        <w:t>rioriser un bon objet, pourvus comme ils sont d’un</w:t>
      </w:r>
      <w:r>
        <w:t>e modalité</w:t>
      </w:r>
      <w:r w:rsidRPr="0041490D">
        <w:t xml:space="preserve"> mentale qui semble fonctionner dans la </w:t>
      </w:r>
      <w:r>
        <w:t>logique purement « né</w:t>
      </w:r>
      <w:r w:rsidRPr="0041490D">
        <w:t>gative » de l’absence</w:t>
      </w:r>
      <w:r>
        <w:t>, et qui mime précisé</w:t>
      </w:r>
      <w:r w:rsidRPr="0041490D">
        <w:t>ment les paradigme</w:t>
      </w:r>
      <w:r>
        <w:t>s de hantise intellectuelle et é</w:t>
      </w:r>
      <w:r w:rsidRPr="0041490D">
        <w:t>motion</w:t>
      </w:r>
      <w:r>
        <w:t>nelle que Green dé</w:t>
      </w:r>
      <w:r w:rsidRPr="0041490D">
        <w:t>crit comm</w:t>
      </w:r>
      <w:r>
        <w:t>e le propre de l’enfant d’une mère morte. L’héroïne é</w:t>
      </w:r>
      <w:r w:rsidRPr="0041490D">
        <w:t xml:space="preserve">ponyme de la </w:t>
      </w:r>
      <w:r w:rsidRPr="003030AD">
        <w:t xml:space="preserve">nouvelle </w:t>
      </w:r>
      <w:r w:rsidRPr="003030AD">
        <w:rPr>
          <w:i/>
        </w:rPr>
        <w:t xml:space="preserve">Une journée de </w:t>
      </w:r>
      <w:proofErr w:type="spellStart"/>
      <w:r w:rsidRPr="003030AD">
        <w:rPr>
          <w:i/>
        </w:rPr>
        <w:t>Brulard</w:t>
      </w:r>
      <w:proofErr w:type="spellEnd"/>
      <w:r w:rsidR="003030AD" w:rsidRPr="00592C4F">
        <w:rPr>
          <w:rStyle w:val="FootnoteReference"/>
          <w:sz w:val="22"/>
          <w:szCs w:val="22"/>
          <w:vertAlign w:val="superscript"/>
        </w:rPr>
        <w:footnoteReference w:id="21"/>
      </w:r>
      <w:r w:rsidRPr="0041490D">
        <w:t xml:space="preserve"> fournit un </w:t>
      </w:r>
      <w:r>
        <w:t xml:space="preserve">très bon </w:t>
      </w:r>
      <w:r w:rsidRPr="0041490D">
        <w:t>exemple</w:t>
      </w:r>
      <w:r>
        <w:t xml:space="preserve"> de ce genre de mentalité</w:t>
      </w:r>
      <w:r w:rsidRPr="0041490D">
        <w:t xml:space="preserve"> fantomatique. N</w:t>
      </w:r>
      <w:r>
        <w:t>on seulement hanté</w:t>
      </w:r>
      <w:r w:rsidRPr="0041490D">
        <w:t>e par</w:t>
      </w:r>
      <w:r>
        <w:t xml:space="preserve"> le spectre de sa mè</w:t>
      </w:r>
      <w:r w:rsidRPr="0041490D">
        <w:t xml:space="preserve">re </w:t>
      </w:r>
      <w:r>
        <w:t>enfin défunte pour de vrai, È</w:t>
      </w:r>
      <w:r w:rsidRPr="0041490D">
        <w:t xml:space="preserve">ve </w:t>
      </w:r>
      <w:proofErr w:type="spellStart"/>
      <w:r w:rsidRPr="0041490D">
        <w:t>Brulard</w:t>
      </w:r>
      <w:proofErr w:type="spellEnd"/>
      <w:r w:rsidRPr="0041490D">
        <w:t xml:space="preserve"> e</w:t>
      </w:r>
      <w:r>
        <w:t>st typique dans son incapacité à se sentir apprécié</w:t>
      </w:r>
      <w:r w:rsidRPr="0041490D">
        <w:t>e,</w:t>
      </w:r>
      <w:r>
        <w:t xml:space="preserve"> reconnue ou même vue par les diffé</w:t>
      </w:r>
      <w:r w:rsidRPr="0041490D">
        <w:t xml:space="preserve">rentes consciences spectrales (concierge, vacanciers, sa fille, les Rotor) qui l’entourent. Tous ces </w:t>
      </w:r>
      <w:r>
        <w:t>« anti-ê</w:t>
      </w:r>
      <w:r w:rsidRPr="0041490D">
        <w:t>tres » restent, pour elle, soit moqueurs</w:t>
      </w:r>
      <w:r>
        <w:t>, soit aveugles, soit indifférents, de toute faç</w:t>
      </w:r>
      <w:r w:rsidRPr="0041490D">
        <w:t xml:space="preserve">on radicalement </w:t>
      </w:r>
      <w:r>
        <w:t>impossibles à intérioriser comme pré</w:t>
      </w:r>
      <w:r w:rsidRPr="0041490D">
        <w:t>sence</w:t>
      </w:r>
      <w:r>
        <w:t>s</w:t>
      </w:r>
      <w:r w:rsidRPr="0041490D">
        <w:t xml:space="preserve"> positive</w:t>
      </w:r>
      <w:r>
        <w:t>s </w:t>
      </w:r>
      <w:r w:rsidRPr="0041490D">
        <w:t xml:space="preserve">: ce ne </w:t>
      </w:r>
      <w:r>
        <w:t>sont que des blancs vaguement désagréables. Quant aux entités qui se pré</w:t>
      </w:r>
      <w:r w:rsidRPr="0041490D">
        <w:t>sentent comme potentiellement bienveillant</w:t>
      </w:r>
      <w:r>
        <w:t>e</w:t>
      </w:r>
      <w:r w:rsidRPr="0041490D">
        <w:t xml:space="preserve">s (Jimmy, le chien), </w:t>
      </w:r>
      <w:proofErr w:type="spellStart"/>
      <w:r w:rsidRPr="0041490D">
        <w:t>Brulard</w:t>
      </w:r>
      <w:proofErr w:type="spellEnd"/>
      <w:r w:rsidRPr="0041490D">
        <w:t xml:space="preserve"> se sent trop lasse pour les aimer</w:t>
      </w:r>
      <w:r>
        <w:t> </w:t>
      </w:r>
      <w:r w:rsidRPr="0041490D">
        <w:t xml:space="preserve">: encore une fois le </w:t>
      </w:r>
      <w:r>
        <w:t>bon objet doit rester à l’extérieur de la psyché hanté</w:t>
      </w:r>
      <w:r w:rsidRPr="0041490D">
        <w:t>e.</w:t>
      </w:r>
    </w:p>
    <w:p w14:paraId="6064BD6C" w14:textId="77777777" w:rsidR="00F82CF2" w:rsidRDefault="00F82CF2" w:rsidP="00BA5E94">
      <w:pPr>
        <w:pStyle w:val="PAUVK"/>
        <w:rPr>
          <w:szCs w:val="24"/>
        </w:rPr>
      </w:pPr>
      <w:r w:rsidRPr="0041490D">
        <w:t xml:space="preserve">Les blancs fantomatiques chez NDiaye sont </w:t>
      </w:r>
      <w:r>
        <w:t xml:space="preserve">donc </w:t>
      </w:r>
      <w:r w:rsidRPr="0041490D">
        <w:t xml:space="preserve">encore plus abstraits que </w:t>
      </w:r>
      <w:r>
        <w:t>s</w:t>
      </w:r>
      <w:r w:rsidRPr="0041490D">
        <w:t>es form</w:t>
      </w:r>
      <w:r>
        <w:t>es spectrales et ses demi-fantô</w:t>
      </w:r>
      <w:r w:rsidRPr="0041490D">
        <w:t xml:space="preserve">mes. Ils ressemblent </w:t>
      </w:r>
      <w:r>
        <w:t>à</w:t>
      </w:r>
      <w:r w:rsidRPr="0041490D">
        <w:t xml:space="preserve"> une structure psychique purement </w:t>
      </w:r>
      <w:proofErr w:type="spellStart"/>
      <w:r w:rsidRPr="0041490D">
        <w:t>greenienne</w:t>
      </w:r>
      <w:proofErr w:type="spellEnd"/>
      <w:r w:rsidRPr="0041490D">
        <w:t>, c’est-</w:t>
      </w:r>
      <w:r>
        <w:t>à-dire une structure qui a été totalement effacée avant de se dé</w:t>
      </w:r>
      <w:r w:rsidRPr="0041490D">
        <w:t>velop</w:t>
      </w:r>
      <w:r>
        <w:t xml:space="preserve">per : </w:t>
      </w:r>
      <w:r>
        <w:lastRenderedPageBreak/>
        <w:t xml:space="preserve">informe et radicalement négative. Dans </w:t>
      </w:r>
      <w:r w:rsidRPr="0041490D">
        <w:rPr>
          <w:i/>
        </w:rPr>
        <w:t>Rosie Carpe</w:t>
      </w:r>
      <w:r w:rsidRPr="0041490D">
        <w:t>, pa</w:t>
      </w:r>
      <w:r>
        <w:t xml:space="preserve">r exemple, </w:t>
      </w:r>
      <w:proofErr w:type="spellStart"/>
      <w:r>
        <w:t>Lagrand</w:t>
      </w:r>
      <w:proofErr w:type="spellEnd"/>
      <w:r>
        <w:t xml:space="preserve"> se sent possédé par </w:t>
      </w:r>
      <w:proofErr w:type="gramStart"/>
      <w:r>
        <w:t>l’ «</w:t>
      </w:r>
      <w:proofErr w:type="gramEnd"/>
      <w:r>
        <w:t> anti-idé</w:t>
      </w:r>
      <w:r w:rsidRPr="0041490D">
        <w:t xml:space="preserve">e » selon laquelle </w:t>
      </w:r>
      <w:r>
        <w:t>il y avait quelque chose qu’il é</w:t>
      </w:r>
      <w:r w:rsidRPr="0041490D">
        <w:t>tait</w:t>
      </w:r>
      <w:r>
        <w:t xml:space="preserve"> censé</w:t>
      </w:r>
      <w:r w:rsidRPr="0041490D">
        <w:t xml:space="preserve"> faire, mais qui a sombr</w:t>
      </w:r>
      <w:r>
        <w:t>é</w:t>
      </w:r>
      <w:r w:rsidRPr="0041490D">
        <w:t xml:space="preserve"> depuis longtem</w:t>
      </w:r>
      <w:r>
        <w:t>ps dans l’oubli. La certitude né</w:t>
      </w:r>
      <w:r w:rsidRPr="0041490D">
        <w:t>gative danse dans sa conscience comme un lutin sans chair, l’oppressant dans toute son absence harcelante.</w:t>
      </w:r>
      <w:r w:rsidRPr="00592C4F">
        <w:rPr>
          <w:rStyle w:val="FootnoteReference"/>
          <w:rFonts w:cs="Times New Roman"/>
          <w:sz w:val="22"/>
          <w:szCs w:val="22"/>
          <w:vertAlign w:val="superscript"/>
        </w:rPr>
        <w:footnoteReference w:id="22"/>
      </w:r>
      <w:r w:rsidRPr="00592C4F">
        <w:rPr>
          <w:rFonts w:cs="Times New Roman"/>
          <w:vertAlign w:val="superscript"/>
        </w:rPr>
        <w:t xml:space="preserve"> </w:t>
      </w:r>
      <w:r>
        <w:rPr>
          <w:szCs w:val="24"/>
        </w:rPr>
        <w:t>Dans le même roman, Rosie Carpe elle-mê</w:t>
      </w:r>
      <w:r w:rsidRPr="0041490D">
        <w:rPr>
          <w:szCs w:val="24"/>
        </w:rPr>
        <w:t>me est envahie par quelque chos</w:t>
      </w:r>
      <w:r>
        <w:rPr>
          <w:szCs w:val="24"/>
        </w:rPr>
        <w:t>e d’également blanc et difficile à cerner : la « non-identité »</w:t>
      </w:r>
      <w:r w:rsidRPr="0041490D">
        <w:rPr>
          <w:szCs w:val="24"/>
        </w:rPr>
        <w:t xml:space="preserve"> de</w:t>
      </w:r>
      <w:r>
        <w:rPr>
          <w:szCs w:val="24"/>
        </w:rPr>
        <w:t xml:space="preserve"> celui ou ceux qui ont mis son mystérieux troisième fœtus (« anti-chose » mal-intériorisée par excellence) dans son ventre.</w:t>
      </w:r>
      <w:r w:rsidRPr="00592C4F">
        <w:rPr>
          <w:rStyle w:val="FootnoteReference"/>
          <w:rFonts w:cs="Times New Roman"/>
          <w:sz w:val="22"/>
          <w:szCs w:val="22"/>
          <w:vertAlign w:val="superscript"/>
        </w:rPr>
        <w:footnoteReference w:id="23"/>
      </w:r>
      <w:r w:rsidRPr="003030AD">
        <w:t xml:space="preserve"> </w:t>
      </w:r>
      <w:r>
        <w:rPr>
          <w:szCs w:val="24"/>
        </w:rPr>
        <w:t xml:space="preserve">Quant à </w:t>
      </w:r>
      <w:r w:rsidRPr="0041490D">
        <w:rPr>
          <w:szCs w:val="24"/>
        </w:rPr>
        <w:t>Olga,</w:t>
      </w:r>
      <w:r>
        <w:rPr>
          <w:szCs w:val="24"/>
        </w:rPr>
        <w:t xml:space="preserve"> jeune protagoniste provinciale, gravement anorexique et quasi-morte</w:t>
      </w:r>
      <w:r w:rsidR="003030AD">
        <w:rPr>
          <w:szCs w:val="24"/>
        </w:rPr>
        <w:t xml:space="preserve"> de la nouvelle</w:t>
      </w:r>
      <w:r>
        <w:rPr>
          <w:szCs w:val="24"/>
        </w:rPr>
        <w:t> </w:t>
      </w:r>
      <w:r w:rsidR="002A2D5A">
        <w:rPr>
          <w:i/>
          <w:szCs w:val="24"/>
        </w:rPr>
        <w:t>Le J</w:t>
      </w:r>
      <w:r w:rsidRPr="003030AD">
        <w:rPr>
          <w:i/>
          <w:szCs w:val="24"/>
        </w:rPr>
        <w:t>our du Président</w:t>
      </w:r>
      <w:r w:rsidR="003030AD" w:rsidRPr="00592C4F">
        <w:rPr>
          <w:rStyle w:val="FootnoteReference"/>
          <w:sz w:val="22"/>
          <w:szCs w:val="22"/>
          <w:vertAlign w:val="superscript"/>
        </w:rPr>
        <w:footnoteReference w:id="24"/>
      </w:r>
      <w:r>
        <w:rPr>
          <w:szCs w:val="24"/>
        </w:rPr>
        <w:t>, elle est enflée par une absence simultanément gastrique et cérébrale : son estomac vide refusera toute nourriture, alors qu’elle passera toute la journée de la narration à essayer de se rappeler (en vain) le prénom du Président Chirac, qui visite Le Havre ce jour-là.</w:t>
      </w:r>
    </w:p>
    <w:p w14:paraId="13C3B42D" w14:textId="77777777" w:rsidR="00F82CF2" w:rsidRPr="00E2376A" w:rsidRDefault="00F82CF2" w:rsidP="00BA5E94">
      <w:pPr>
        <w:pStyle w:val="PAUVK"/>
      </w:pPr>
      <w:r>
        <w:t xml:space="preserve">Olga, </w:t>
      </w:r>
      <w:proofErr w:type="spellStart"/>
      <w:r>
        <w:t>Brulard</w:t>
      </w:r>
      <w:proofErr w:type="spellEnd"/>
      <w:r>
        <w:t xml:space="preserve">, Rosie et </w:t>
      </w:r>
      <w:proofErr w:type="spellStart"/>
      <w:r>
        <w:t>Lagrand</w:t>
      </w:r>
      <w:proofErr w:type="spellEnd"/>
      <w:r>
        <w:t xml:space="preserve"> sont les membres d’une sorte d’anti-communauté de personnages </w:t>
      </w:r>
      <w:proofErr w:type="spellStart"/>
      <w:r>
        <w:t>ndiayïens</w:t>
      </w:r>
      <w:proofErr w:type="spellEnd"/>
      <w:r>
        <w:t xml:space="preserve">, hantés non pas par des fantômes concrets et nommables, ni même forcément par des fantômes mais par une impression d’eux-mêmes qui est de plus en plus difficile à gérer ; ce sont des sujets qui se sentent en pleine désintégration, criblés comme ils sont de trous et de blancs, des masses de grisaille absente et de pesant demi-oubli. « Fanny », protagoniste décentrée et faussement nommée du roman </w:t>
      </w:r>
      <w:r w:rsidRPr="000A30B2">
        <w:rPr>
          <w:i/>
        </w:rPr>
        <w:t>En famille</w:t>
      </w:r>
      <w:r>
        <w:t>, est peut-être l’ultime (non-)-citoyenne de cette communauté d’enfants blancs-gris : tout son être semble constitué par un grand trou dans la chaîne signifiante. Personne, même pas le narrateur, ne peut donner des mots à la raison pour laquelle cette jeune fille est hantée aussi férocement par une négativité nébuleuse qui la rend en quelque sorte irreprésentable pour sa famille maternelle. C’est un mystère aussi indicible que la Création, injuste, peut-être ; triste, certes ; mais, selon Tante Colette, l’implacable porte-parole de l’idéologie de la famille, tout simp</w:t>
      </w:r>
      <w:r w:rsidR="009D3BE8">
        <w:t>lement, dans l’ordre des choses : « </w:t>
      </w:r>
      <w:r w:rsidRPr="00DF5511">
        <w:t xml:space="preserve">Mais qu’es-tu donc, </w:t>
      </w:r>
      <w:proofErr w:type="gramStart"/>
      <w:r w:rsidRPr="00DF5511">
        <w:t>toi?</w:t>
      </w:r>
      <w:proofErr w:type="gramEnd"/>
      <w:r w:rsidRPr="00DF5511">
        <w:t xml:space="preserve"> </w:t>
      </w:r>
      <w:r w:rsidRPr="00DF5511">
        <w:lastRenderedPageBreak/>
        <w:t xml:space="preserve">[…] Comment définir clairement ce que tu </w:t>
      </w:r>
      <w:proofErr w:type="gramStart"/>
      <w:r w:rsidRPr="00DF5511">
        <w:t>es?</w:t>
      </w:r>
      <w:proofErr w:type="gramEnd"/>
      <w:r w:rsidRPr="00DF5511">
        <w:t xml:space="preserve"> Es-tu quelque </w:t>
      </w:r>
      <w:proofErr w:type="gramStart"/>
      <w:r w:rsidRPr="00DF5511">
        <w:t>chose?</w:t>
      </w:r>
      <w:proofErr w:type="gramEnd"/>
      <w:r w:rsidRPr="00DF5511">
        <w:t xml:space="preserve"> […] Faut-il croire que tu n’es rien de </w:t>
      </w:r>
      <w:proofErr w:type="gramStart"/>
      <w:r w:rsidRPr="00DF5511">
        <w:t>dicible?</w:t>
      </w:r>
      <w:proofErr w:type="gramEnd"/>
      <w:r w:rsidR="009D3BE8">
        <w:t> »</w:t>
      </w:r>
      <w:r w:rsidR="009D3BE8" w:rsidRPr="00D64C8C">
        <w:rPr>
          <w:rStyle w:val="FootnoteReference"/>
          <w:sz w:val="22"/>
          <w:szCs w:val="22"/>
          <w:vertAlign w:val="superscript"/>
        </w:rPr>
        <w:footnoteReference w:id="25"/>
      </w:r>
      <w:r w:rsidR="00E2376A" w:rsidRPr="00D64C8C">
        <w:rPr>
          <w:vertAlign w:val="superscript"/>
        </w:rPr>
        <w:t xml:space="preserve"> </w:t>
      </w:r>
      <w:r w:rsidRPr="00301292">
        <w:t>Tante Colette</w:t>
      </w:r>
      <w:r>
        <w:t>, ainsi que Marie NDiaye elle-m</w:t>
      </w:r>
      <w:r>
        <w:rPr>
          <w:rFonts w:cs="Arial"/>
        </w:rPr>
        <w:t>ê</w:t>
      </w:r>
      <w:r w:rsidRPr="00301292">
        <w:t xml:space="preserve">me, formule ces horribles questions de </w:t>
      </w:r>
      <w:r>
        <w:t>la « </w:t>
      </w:r>
      <w:proofErr w:type="spellStart"/>
      <w:r w:rsidRPr="00301292">
        <w:t>spoiled</w:t>
      </w:r>
      <w:proofErr w:type="spellEnd"/>
      <w:r w:rsidRPr="00301292">
        <w:t xml:space="preserve"> </w:t>
      </w:r>
      <w:proofErr w:type="spellStart"/>
      <w:r w:rsidRPr="00301292">
        <w:t>identity</w:t>
      </w:r>
      <w:proofErr w:type="spellEnd"/>
      <w:r>
        <w:t> »</w:t>
      </w:r>
      <w:r w:rsidRPr="00301292">
        <w:t xml:space="preserve"> (pour reprendre l’expression originale d</w:t>
      </w:r>
      <w:r>
        <w:t xml:space="preserve">e l’auteur américain </w:t>
      </w:r>
      <w:r w:rsidRPr="00301292">
        <w:t xml:space="preserve">de </w:t>
      </w:r>
      <w:r w:rsidRPr="00301292">
        <w:rPr>
          <w:i/>
        </w:rPr>
        <w:t>Stigmate</w:t>
      </w:r>
      <w:r w:rsidR="00E2376A" w:rsidRPr="00D64C8C">
        <w:rPr>
          <w:rStyle w:val="FootnoteReference"/>
          <w:sz w:val="22"/>
          <w:szCs w:val="22"/>
          <w:vertAlign w:val="superscript"/>
        </w:rPr>
        <w:footnoteReference w:id="26"/>
      </w:r>
      <w:r w:rsidRPr="00301292">
        <w:t>)</w:t>
      </w:r>
      <w:r w:rsidRPr="00301292">
        <w:rPr>
          <w:i/>
        </w:rPr>
        <w:t xml:space="preserve"> </w:t>
      </w:r>
      <w:r w:rsidRPr="00301292">
        <w:t>avec une franchise terrifiante</w:t>
      </w:r>
      <w:r>
        <w:t>, montrant de fa</w:t>
      </w:r>
      <w:r>
        <w:rPr>
          <w:rFonts w:cs="Arial"/>
        </w:rPr>
        <w:t>ç</w:t>
      </w:r>
      <w:r>
        <w:t>on tranchante combien elles gagnent quand on les entrevoit sous un jour aussi bien psychique que sociologique.</w:t>
      </w:r>
      <w:r w:rsidRPr="00297E5C">
        <w:rPr>
          <w:rStyle w:val="FootnoteReference"/>
          <w:rFonts w:cs="Times New Roman"/>
          <w:sz w:val="22"/>
          <w:szCs w:val="22"/>
          <w:vertAlign w:val="superscript"/>
        </w:rPr>
        <w:footnoteReference w:id="27"/>
      </w:r>
    </w:p>
    <w:p w14:paraId="55E3D0F4" w14:textId="77777777" w:rsidR="00297E5C" w:rsidRDefault="00F82CF2" w:rsidP="00BA5E94">
      <w:pPr>
        <w:pStyle w:val="PAUVK"/>
      </w:pPr>
      <w:r>
        <w:t xml:space="preserve">En poursuivant cette analyse </w:t>
      </w:r>
      <w:proofErr w:type="spellStart"/>
      <w:r>
        <w:t>greenienne</w:t>
      </w:r>
      <w:proofErr w:type="spellEnd"/>
      <w:r>
        <w:t xml:space="preserve"> d’</w:t>
      </w:r>
      <w:r>
        <w:rPr>
          <w:i/>
        </w:rPr>
        <w:t>En famille</w:t>
      </w:r>
      <w:r>
        <w:t xml:space="preserve">, il devient clair que Green et </w:t>
      </w:r>
      <w:r w:rsidRPr="0041490D">
        <w:t>NDiaye</w:t>
      </w:r>
      <w:r>
        <w:t xml:space="preserve"> se ressemblent jusque dans la faç</w:t>
      </w:r>
      <w:r w:rsidRPr="0041490D">
        <w:t>on dont ils manipulen</w:t>
      </w:r>
      <w:r>
        <w:t>t le langage descriptif de la mé</w:t>
      </w:r>
      <w:r w:rsidRPr="0041490D">
        <w:t>tamorphose</w:t>
      </w:r>
      <w:r>
        <w:t xml:space="preserve"> d’un enfant de mère morte</w:t>
      </w:r>
      <w:r w:rsidRPr="0041490D">
        <w:t xml:space="preserve">. </w:t>
      </w:r>
      <w:r>
        <w:t xml:space="preserve">Voici un exemple frappant : </w:t>
      </w:r>
      <w:r w:rsidRPr="0041490D">
        <w:t>Green parle des images photographiques changeantes que l’on trouvera de l’enfant de la mère morte si l’on cherche dans les albums familiaux :</w:t>
      </w:r>
    </w:p>
    <w:p w14:paraId="1FD3F9BC" w14:textId="77777777" w:rsidR="00297E5C" w:rsidRDefault="00297E5C" w:rsidP="00BA5E94">
      <w:pPr>
        <w:pStyle w:val="PAUVK"/>
      </w:pPr>
    </w:p>
    <w:p w14:paraId="222053A7" w14:textId="77777777" w:rsidR="00F82CF2" w:rsidRDefault="00F82CF2" w:rsidP="00297E5C">
      <w:pPr>
        <w:pStyle w:val="Quote"/>
        <w:ind w:left="567"/>
        <w:rPr>
          <w:lang w:val="fr-BE"/>
        </w:rPr>
      </w:pPr>
      <w:r w:rsidRPr="00984DE3">
        <w:rPr>
          <w:lang w:val="fr-FR"/>
        </w:rPr>
        <w:t xml:space="preserve">Les photos du jeune bébé le montrent dans l’album de la famille, gai, éveillé, intéressé, gros de potentialités, tandis que des clichés plus tardifs témoignent de la perte de ce premier bonheur. </w:t>
      </w:r>
      <w:r w:rsidRPr="00297E5C">
        <w:rPr>
          <w:lang w:val="fr-FR"/>
        </w:rPr>
        <w:t>Tout se sera terminé comme pour les civilisations disparues, dont les historiens cherchent en vain la cause de la mort en faisant l’hypothèse d’une secousse sismique qui aurait détruit le palais, le temple, les édifices et les habitations, dont il ne reste plus que les ruines.</w:t>
      </w:r>
      <w:r w:rsidR="00297E5C" w:rsidRPr="00624AA2">
        <w:rPr>
          <w:rStyle w:val="FootnoteReference"/>
          <w:vertAlign w:val="superscript"/>
        </w:rPr>
        <w:footnoteReference w:id="28"/>
      </w:r>
      <w:r w:rsidRPr="00297E5C">
        <w:rPr>
          <w:lang w:val="fr-FR"/>
        </w:rPr>
        <w:t xml:space="preserve"> </w:t>
      </w:r>
    </w:p>
    <w:p w14:paraId="4D35E38A" w14:textId="77777777" w:rsidR="00297E5C" w:rsidRPr="00297E5C" w:rsidRDefault="00297E5C" w:rsidP="00297E5C">
      <w:pPr>
        <w:rPr>
          <w:lang w:val="fr-BE"/>
        </w:rPr>
      </w:pPr>
    </w:p>
    <w:p w14:paraId="276715FA" w14:textId="77777777" w:rsidR="00F82CF2" w:rsidRDefault="00F82CF2" w:rsidP="00F82CF2">
      <w:pPr>
        <w:pStyle w:val="PNUVK"/>
      </w:pPr>
      <w:r>
        <w:t>Ne voyons-nous pas en Fanny</w:t>
      </w:r>
      <w:r w:rsidRPr="0041490D">
        <w:t xml:space="preserve"> précisément ce genre de ruine inexplicable, si poétiquement décrite par Green ? Le roman de NDiaye raconte la même comparaison de clichés photographiques qui ont été pris à des moments différents dans l’enfance de Fanny :</w:t>
      </w:r>
    </w:p>
    <w:p w14:paraId="38C2E06D" w14:textId="77777777" w:rsidR="00624AA2" w:rsidRPr="008C4401" w:rsidRDefault="00624AA2" w:rsidP="00F82CF2">
      <w:pPr>
        <w:pStyle w:val="PNUVK"/>
      </w:pPr>
    </w:p>
    <w:p w14:paraId="27288FD0" w14:textId="77777777" w:rsidR="00F82CF2" w:rsidRPr="0041490D" w:rsidRDefault="00F82CF2" w:rsidP="00624AA2">
      <w:pPr>
        <w:pStyle w:val="Quote"/>
        <w:ind w:left="567"/>
        <w:rPr>
          <w:lang w:val="fr-FR"/>
        </w:rPr>
      </w:pPr>
      <w:r w:rsidRPr="0041490D">
        <w:rPr>
          <w:lang w:val="fr-FR"/>
        </w:rPr>
        <w:t>Tante Colette montra à Fanny une photographie où elle se reconnut en compagnie d’autres petites filles, au bord d’un puits, coiffée comme elles et, ainsi que venait de le dire Tante Colette, leur ressemblant au point qu’on e</w:t>
      </w:r>
      <w:r>
        <w:rPr>
          <w:lang w:val="fr-FR"/>
        </w:rPr>
        <w:t>ût pu la prendre pour leur sœur.</w:t>
      </w:r>
      <w:r w:rsidR="00624AA2" w:rsidRPr="00624AA2">
        <w:rPr>
          <w:rStyle w:val="FootnoteReference"/>
          <w:vertAlign w:val="superscript"/>
        </w:rPr>
        <w:footnoteReference w:id="29"/>
      </w:r>
      <w:r>
        <w:rPr>
          <w:lang w:val="fr-FR"/>
        </w:rPr>
        <w:t xml:space="preserve"> </w:t>
      </w:r>
    </w:p>
    <w:p w14:paraId="5A21ECB6" w14:textId="77777777" w:rsidR="00624AA2" w:rsidRDefault="00624AA2" w:rsidP="00F82CF2">
      <w:pPr>
        <w:pStyle w:val="PNUVK"/>
      </w:pPr>
    </w:p>
    <w:p w14:paraId="6282ED43" w14:textId="77777777" w:rsidR="00F82CF2" w:rsidRPr="0041490D" w:rsidRDefault="00F82CF2" w:rsidP="00624AA2">
      <w:pPr>
        <w:pStyle w:val="PNUVK"/>
      </w:pPr>
      <w:r>
        <w:t>L</w:t>
      </w:r>
      <w:r w:rsidRPr="0041490D">
        <w:t>’image de Fanny change brutalement dans la deuxième photo montrée par sa tante :</w:t>
      </w:r>
      <w:r w:rsidR="00624AA2">
        <w:t xml:space="preserve"> « </w:t>
      </w:r>
      <w:r w:rsidRPr="0041490D">
        <w:t xml:space="preserve">Sur la photographie que tendait Tante Colette, Fanny, coiffée de maigres couettes […] </w:t>
      </w:r>
      <w:r>
        <w:t>baissait la tête, avait l’air désemparée et incongrue.</w:t>
      </w:r>
      <w:r w:rsidR="00624AA2">
        <w:t> »</w:t>
      </w:r>
      <w:r w:rsidR="00624AA2" w:rsidRPr="00BA5E94">
        <w:rPr>
          <w:rStyle w:val="FootnoteReference"/>
          <w:sz w:val="22"/>
          <w:szCs w:val="22"/>
          <w:vertAlign w:val="superscript"/>
        </w:rPr>
        <w:footnoteReference w:id="30"/>
      </w:r>
      <w:r w:rsidRPr="00BA5E94">
        <w:rPr>
          <w:vertAlign w:val="superscript"/>
        </w:rPr>
        <w:t xml:space="preserve"> </w:t>
      </w:r>
    </w:p>
    <w:p w14:paraId="53D519CD" w14:textId="77777777" w:rsidR="00F82CF2" w:rsidRDefault="00F82CF2" w:rsidP="00F82CF2">
      <w:pPr>
        <w:pStyle w:val="PNUVK"/>
      </w:pPr>
      <w:r w:rsidRPr="0041490D">
        <w:t xml:space="preserve">Bien qu’ayant toujours considéré cette scène cauchemardesque des photos comme une brillante description – </w:t>
      </w:r>
      <w:r>
        <w:t xml:space="preserve">pourtant </w:t>
      </w:r>
      <w:r w:rsidRPr="0041490D">
        <w:t>hors du langage racialisant – de la façon dont la plupart des enfants métis deviennent progressivement plus « noirs » à mesure qu’ils grandissent, à la lumière de Green nous pouvons y ajouter une interprétation psychanalytique</w:t>
      </w:r>
      <w:r>
        <w:t>,</w:t>
      </w:r>
      <w:r w:rsidRPr="0041490D">
        <w:t xml:space="preserve"> selon laquelle Fanny, enfant de mère morte, se me</w:t>
      </w:r>
      <w:r>
        <w:t>urt</w:t>
      </w:r>
      <w:r w:rsidRPr="0041490D">
        <w:t xml:space="preserve"> progressivement à son tour, </w:t>
      </w:r>
      <w:r>
        <w:t xml:space="preserve">dans </w:t>
      </w:r>
      <w:r w:rsidRPr="0041490D">
        <w:t xml:space="preserve">une lente transformation </w:t>
      </w:r>
      <w:proofErr w:type="spellStart"/>
      <w:r w:rsidRPr="0041490D">
        <w:t>greenie</w:t>
      </w:r>
      <w:r>
        <w:t>nne</w:t>
      </w:r>
      <w:proofErr w:type="spellEnd"/>
      <w:r>
        <w:t xml:space="preserve"> attestée par exactement la mê</w:t>
      </w:r>
      <w:r w:rsidRPr="0041490D">
        <w:t xml:space="preserve">me série </w:t>
      </w:r>
      <w:r>
        <w:t>de clichés culpabilisants (ou révé</w:t>
      </w:r>
      <w:r w:rsidRPr="0041490D">
        <w:t>lateurs).</w:t>
      </w:r>
    </w:p>
    <w:p w14:paraId="314BADFB" w14:textId="77777777" w:rsidR="00F82CF2" w:rsidRPr="00D6400B" w:rsidRDefault="00F82CF2" w:rsidP="00BA5E94">
      <w:pPr>
        <w:pStyle w:val="PAUVK"/>
      </w:pPr>
      <w:r>
        <w:t>Conformément au diagnostic de Green, Fanny sera</w:t>
      </w:r>
      <w:r w:rsidRPr="0041490D">
        <w:t xml:space="preserve"> caractérisée, jeune adulte, par un besoin maniaque de rationnaliser sa situation, de tr</w:t>
      </w:r>
      <w:r>
        <w:t>ouver du sens dans le grand trou</w:t>
      </w:r>
      <w:r w:rsidRPr="0041490D">
        <w:t xml:space="preserve"> laissé par son rejet familial. Grâce au fantasme </w:t>
      </w:r>
      <w:r>
        <w:t>des retrouvailles avec la mythique Tante Léda, Fanny peut sombrer dans précisément le genre d’indentification négative (identification au trou laisse par la mère morte désinvestie) décrite par Green. Léda est pseudo-maternelle mais fantomatique, sans représentation aucune : s’il y a un objet qui relève du domaine de la « psychose blanche », c’est bien elle. Personne n’est très sûr de son existence, alors que d’innombrables histoires prolifèrent autour de son identité paradoxale, sans que son air de néant ne se solidifie. Une photographie prétendue de Léda la montre comme « une confuse masse grise »</w:t>
      </w:r>
      <w:r w:rsidR="00624AA2" w:rsidRPr="00D6400B">
        <w:rPr>
          <w:rStyle w:val="FootnoteReference"/>
          <w:sz w:val="22"/>
          <w:szCs w:val="22"/>
          <w:vertAlign w:val="superscript"/>
        </w:rPr>
        <w:footnoteReference w:id="31"/>
      </w:r>
      <w:r w:rsidRPr="00D6400B">
        <w:t>.</w:t>
      </w:r>
      <w:r w:rsidRPr="0041490D">
        <w:t xml:space="preserve"> </w:t>
      </w:r>
      <w:r>
        <w:t>Plus tard, Fanny elle-même trouvera qu’elle se transforme en un trou dans une photo de famille :</w:t>
      </w:r>
      <w:r w:rsidR="00D6400B">
        <w:t xml:space="preserve"> « </w:t>
      </w:r>
      <w:r w:rsidRPr="0041490D">
        <w:t>[Seul manquait] le visage de Fanny elle-même, qui n’était plus qu’un trou déchiqueté sur la ronde poitrine de sa mère.</w:t>
      </w:r>
      <w:r w:rsidR="00D6400B">
        <w:t> »</w:t>
      </w:r>
      <w:r w:rsidR="00D6400B" w:rsidRPr="00D6400B">
        <w:rPr>
          <w:rStyle w:val="FootnoteReference"/>
          <w:sz w:val="22"/>
          <w:szCs w:val="22"/>
          <w:vertAlign w:val="superscript"/>
        </w:rPr>
        <w:footnoteReference w:id="32"/>
      </w:r>
    </w:p>
    <w:p w14:paraId="3F5E4E3A" w14:textId="77777777" w:rsidR="00F82CF2" w:rsidRDefault="00F82CF2" w:rsidP="00F82CF2">
      <w:pPr>
        <w:pStyle w:val="PNUVK"/>
      </w:pPr>
      <w:r>
        <w:lastRenderedPageBreak/>
        <w:t xml:space="preserve">À mesure que son personnage sombre grotesquement dans l’obsession, Fanny se </w:t>
      </w:r>
      <w:proofErr w:type="spellStart"/>
      <w:r>
        <w:t>déconstitue</w:t>
      </w:r>
      <w:proofErr w:type="spellEnd"/>
      <w:r>
        <w:t xml:space="preserve"> progressivement. </w:t>
      </w:r>
      <w:proofErr w:type="gramStart"/>
      <w:r>
        <w:t>Suite à</w:t>
      </w:r>
      <w:proofErr w:type="gramEnd"/>
      <w:r>
        <w:t xml:space="preserve"> son dépècement par les chiens familiaux, elle s’approche </w:t>
      </w:r>
      <w:proofErr w:type="spellStart"/>
      <w:r>
        <w:t>desa</w:t>
      </w:r>
      <w:proofErr w:type="spellEnd"/>
      <w:r>
        <w:t xml:space="preserve"> dématérialisation littérale, pour finir sa quête démente dans le hangar de Tante Colette, </w:t>
      </w:r>
      <w:proofErr w:type="spellStart"/>
      <w:r>
        <w:t>spectralisée</w:t>
      </w:r>
      <w:proofErr w:type="spellEnd"/>
      <w:r>
        <w:t xml:space="preserve"> à son tour, gazeuse et résistante à toute description linguistique.</w:t>
      </w:r>
    </w:p>
    <w:p w14:paraId="1FEBCAF5" w14:textId="77777777" w:rsidR="00BA5E94" w:rsidRDefault="00F82CF2" w:rsidP="00BA5E94">
      <w:pPr>
        <w:pStyle w:val="PAUVK"/>
      </w:pPr>
      <w:r>
        <w:t xml:space="preserve">Le psychanalyste </w:t>
      </w:r>
      <w:r w:rsidRPr="0041490D">
        <w:t xml:space="preserve">Arnold </w:t>
      </w:r>
      <w:proofErr w:type="spellStart"/>
      <w:r w:rsidRPr="0041490D">
        <w:t>Modell</w:t>
      </w:r>
      <w:proofErr w:type="spellEnd"/>
      <w:r w:rsidRPr="0041490D">
        <w:t xml:space="preserve"> souligne la différence entre le </w:t>
      </w:r>
      <w:r>
        <w:t>« </w:t>
      </w:r>
      <w:r w:rsidRPr="0041490D">
        <w:t>complexe</w:t>
      </w:r>
      <w:r>
        <w:t> »</w:t>
      </w:r>
      <w:r w:rsidRPr="0041490D">
        <w:t xml:space="preserve"> </w:t>
      </w:r>
      <w:r>
        <w:t xml:space="preserve">de mère morte </w:t>
      </w:r>
      <w:r w:rsidRPr="0041490D">
        <w:t xml:space="preserve">(moins grave) et le </w:t>
      </w:r>
      <w:r>
        <w:t>« </w:t>
      </w:r>
      <w:r w:rsidRPr="0041490D">
        <w:t>syndrome</w:t>
      </w:r>
      <w:r>
        <w:t> »</w:t>
      </w:r>
      <w:r w:rsidRPr="0041490D">
        <w:t xml:space="preserve"> </w:t>
      </w:r>
      <w:r>
        <w:t>de mère morte (plus grave), en soutenant</w:t>
      </w:r>
      <w:r w:rsidRPr="0041490D">
        <w:t xml:space="preserve"> que l’enfant, dans le cas plus grave</w:t>
      </w:r>
      <w:r>
        <w:t xml:space="preserve"> du « syndrome »</w:t>
      </w:r>
      <w:r w:rsidRPr="0041490D">
        <w:t>, fini</w:t>
      </w:r>
      <w:r>
        <w:t>t</w:t>
      </w:r>
      <w:r w:rsidRPr="0041490D">
        <w:t xml:space="preserve"> pa</w:t>
      </w:r>
      <w:r>
        <w:t>r s’identifier entièrement à sa propre mère</w:t>
      </w:r>
      <w:r w:rsidRPr="0041490D">
        <w:t xml:space="preserve"> morte</w:t>
      </w:r>
      <w:r>
        <w:t>, développant une subjectivi</w:t>
      </w:r>
      <w:r w:rsidRPr="0041490D">
        <w:t>té</w:t>
      </w:r>
      <w:r>
        <w:t xml:space="preserve"> inconsciemment inspirée, dès l’enfance, par cette mort désavouée</w:t>
      </w:r>
      <w:r w:rsidRPr="0041490D">
        <w:t>.</w:t>
      </w:r>
      <w:r w:rsidR="008071BC" w:rsidRPr="0062226A">
        <w:rPr>
          <w:rStyle w:val="FootnoteReference"/>
          <w:sz w:val="22"/>
          <w:szCs w:val="22"/>
          <w:vertAlign w:val="superscript"/>
        </w:rPr>
        <w:footnoteReference w:id="33"/>
      </w:r>
      <w:r w:rsidRPr="0041490D">
        <w:t xml:space="preserve"> Ne voyons-nous pas </w:t>
      </w:r>
      <w:r>
        <w:t xml:space="preserve">dans des personnages comme la « dernière </w:t>
      </w:r>
      <w:r w:rsidRPr="0041490D">
        <w:t>»</w:t>
      </w:r>
      <w:r>
        <w:t xml:space="preserve"> Fanny</w:t>
      </w:r>
      <w:r w:rsidRPr="0041490D">
        <w:t xml:space="preserve">, espèce d’ombre indicible, </w:t>
      </w:r>
      <w:r>
        <w:t xml:space="preserve">tout comme </w:t>
      </w:r>
      <w:r w:rsidRPr="0041490D">
        <w:t>la dernière Rosie (« elle lui semblait avoir atteint le point le plus extrême de la passivité et l’indifférence »</w:t>
      </w:r>
      <w:r w:rsidR="0062226A" w:rsidRPr="0062226A">
        <w:rPr>
          <w:rStyle w:val="FootnoteReference"/>
          <w:sz w:val="22"/>
          <w:szCs w:val="22"/>
          <w:vertAlign w:val="superscript"/>
        </w:rPr>
        <w:footnoteReference w:id="34"/>
      </w:r>
      <w:r w:rsidRPr="0041490D">
        <w:t xml:space="preserve">, et </w:t>
      </w:r>
      <w:r>
        <w:t>comme l</w:t>
      </w:r>
      <w:r w:rsidRPr="0041490D">
        <w:t xml:space="preserve">a Fille-Fantôme de la pièce </w:t>
      </w:r>
      <w:r w:rsidRPr="0041490D">
        <w:rPr>
          <w:i/>
        </w:rPr>
        <w:t>Les Grandes Personnes</w:t>
      </w:r>
      <w:r w:rsidRPr="0041490D">
        <w:t xml:space="preserve">, cette identification totale à une </w:t>
      </w:r>
      <w:r>
        <w:t xml:space="preserve">certaine </w:t>
      </w:r>
      <w:r w:rsidRPr="0041490D">
        <w:t>forme de mort</w:t>
      </w:r>
      <w:r>
        <w:t xml:space="preserve">, si merveilleusement traduite par le biais </w:t>
      </w:r>
      <w:r w:rsidRPr="0041490D">
        <w:t xml:space="preserve">du pseudo-fantastique </w:t>
      </w:r>
      <w:proofErr w:type="spellStart"/>
      <w:r>
        <w:t>ndiayïen</w:t>
      </w:r>
      <w:proofErr w:type="spellEnd"/>
      <w:r w:rsidRPr="0041490D">
        <w:t xml:space="preserve"> ? Et quand la gaie, blonde Maman de </w:t>
      </w:r>
      <w:r w:rsidRPr="0041490D">
        <w:rPr>
          <w:i/>
        </w:rPr>
        <w:t>Papa doit manger</w:t>
      </w:r>
      <w:r w:rsidRPr="0041490D">
        <w:t xml:space="preserve"> qualifie ses deux</w:t>
      </w:r>
      <w:r>
        <w:t xml:space="preserve"> </w:t>
      </w:r>
      <w:r w:rsidRPr="0041490D">
        <w:t>filles</w:t>
      </w:r>
      <w:r>
        <w:t xml:space="preserve"> brunes,</w:t>
      </w:r>
      <w:r w:rsidRPr="0041490D">
        <w:t xml:space="preserve"> Mina et Ami</w:t>
      </w:r>
      <w:r>
        <w:t>,</w:t>
      </w:r>
      <w:r w:rsidRPr="0041490D">
        <w:t xml:space="preserve"> </w:t>
      </w:r>
      <w:r>
        <w:t>de</w:t>
      </w:r>
      <w:r w:rsidRPr="0041490D">
        <w:t xml:space="preserve"> « mes chères petites mortes »</w:t>
      </w:r>
      <w:r w:rsidR="0062226A" w:rsidRPr="0062226A">
        <w:rPr>
          <w:rStyle w:val="FootnoteReference"/>
          <w:sz w:val="22"/>
          <w:szCs w:val="22"/>
          <w:vertAlign w:val="superscript"/>
        </w:rPr>
        <w:footnoteReference w:id="35"/>
      </w:r>
      <w:r w:rsidRPr="0041490D">
        <w:t xml:space="preserve">, ne voyons-nous pas l’une des instances les plus désinvoltes dans tout l’œuvre </w:t>
      </w:r>
      <w:proofErr w:type="spellStart"/>
      <w:r>
        <w:t>ndiayïen</w:t>
      </w:r>
      <w:proofErr w:type="spellEnd"/>
      <w:r w:rsidRPr="0041490D">
        <w:t xml:space="preserve"> de ce p</w:t>
      </w:r>
      <w:r>
        <w:t xml:space="preserve">rocessus de transmission </w:t>
      </w:r>
      <w:proofErr w:type="spellStart"/>
      <w:r>
        <w:t>zombifiante</w:t>
      </w:r>
      <w:proofErr w:type="spellEnd"/>
      <w:r w:rsidRPr="0041490D">
        <w:t xml:space="preserve"> de mère à enfant ? La mort intérieure que la souriante mère blanche ne peut pas reconnaître n’est-elle pas</w:t>
      </w:r>
      <w:r>
        <w:t>,</w:t>
      </w:r>
      <w:r w:rsidRPr="0041490D">
        <w:t xml:space="preserve"> en quelque sorte</w:t>
      </w:r>
      <w:r>
        <w:t>,</w:t>
      </w:r>
      <w:r w:rsidRPr="0041490D">
        <w:t xml:space="preserve"> incarnée dans la triste peau brune de ses filles ?</w:t>
      </w:r>
    </w:p>
    <w:p w14:paraId="33D5E236" w14:textId="77777777" w:rsidR="00BA5E94" w:rsidRDefault="00BA5E94" w:rsidP="00BA5E94">
      <w:pPr>
        <w:pStyle w:val="PAUVK"/>
      </w:pPr>
    </w:p>
    <w:p w14:paraId="2F53F6DA" w14:textId="77777777" w:rsidR="00BA5E94" w:rsidRDefault="00BA5E94" w:rsidP="00BA5E94">
      <w:pPr>
        <w:pStyle w:val="PAUVK"/>
      </w:pPr>
    </w:p>
    <w:p w14:paraId="4331DCBE" w14:textId="77777777" w:rsidR="0015740E" w:rsidRDefault="00BA5E94" w:rsidP="00BA5E94">
      <w:pPr>
        <w:pStyle w:val="Heading2"/>
        <w:spacing w:before="0" w:after="0"/>
        <w:rPr>
          <w:lang w:val="fr-FR"/>
        </w:rPr>
      </w:pPr>
      <w:r>
        <w:rPr>
          <w:lang w:val="fr-FR"/>
        </w:rPr>
        <w:t>Les mères</w:t>
      </w:r>
      <w:r w:rsidR="0015740E" w:rsidRPr="00BA5E94">
        <w:rPr>
          <w:lang w:val="fr-FR"/>
        </w:rPr>
        <w:t xml:space="preserve"> mortes chez NDiaye</w:t>
      </w:r>
    </w:p>
    <w:p w14:paraId="6AEE2CCD" w14:textId="77777777" w:rsidR="00BA5E94" w:rsidRPr="00BA5E94" w:rsidRDefault="00BA5E94" w:rsidP="00BA5E94">
      <w:pPr>
        <w:rPr>
          <w:lang w:val="fr-FR"/>
        </w:rPr>
      </w:pPr>
    </w:p>
    <w:p w14:paraId="4E39B520" w14:textId="77777777" w:rsidR="0015740E" w:rsidRPr="0041490D" w:rsidRDefault="0015740E" w:rsidP="0015740E">
      <w:pPr>
        <w:pStyle w:val="PNUVK"/>
      </w:pPr>
      <w:r>
        <w:t xml:space="preserve">Nous suggérons, donc, que tous ces frêles personnages </w:t>
      </w:r>
      <w:proofErr w:type="spellStart"/>
      <w:r>
        <w:t>ndiayïens</w:t>
      </w:r>
      <w:proofErr w:type="spellEnd"/>
      <w:r>
        <w:t xml:space="preserve"> – Olga, </w:t>
      </w:r>
      <w:proofErr w:type="spellStart"/>
      <w:r>
        <w:t>Brulard</w:t>
      </w:r>
      <w:proofErr w:type="spellEnd"/>
      <w:r>
        <w:t xml:space="preserve">, Rosie, </w:t>
      </w:r>
      <w:proofErr w:type="spellStart"/>
      <w:r>
        <w:t>Lagrand</w:t>
      </w:r>
      <w:proofErr w:type="spellEnd"/>
      <w:r>
        <w:t xml:space="preserve">, Fanny, Ami, Mina et les autres – seraient les enfants d’une mère morte, que cette expérience refoulée d’enfance engendre la structure fantomatique de la conscience trouée systématiquement décrite dans l’œuvre. Mais une telle affirmation </w:t>
      </w:r>
      <w:r>
        <w:lastRenderedPageBreak/>
        <w:t xml:space="preserve">peut-elle se justifier ? Où se trouvent ces « mères mortes » dans les textes de NDiaye ? À vrai dire, </w:t>
      </w:r>
      <w:r w:rsidRPr="0041490D">
        <w:t>nous nous trouvons face à de</w:t>
      </w:r>
      <w:r>
        <w:t xml:space="preserve"> véritables</w:t>
      </w:r>
      <w:r w:rsidRPr="0041490D">
        <w:t xml:space="preserve"> mères mortes</w:t>
      </w:r>
      <w:r>
        <w:t xml:space="preserve"> à la Green partout dans l’œuvre </w:t>
      </w:r>
      <w:proofErr w:type="spellStart"/>
      <w:r>
        <w:t>ndiayïen</w:t>
      </w:r>
      <w:proofErr w:type="spellEnd"/>
      <w:r w:rsidRPr="0041490D">
        <w:t xml:space="preserve">. Ce sont des femmes essentiellement </w:t>
      </w:r>
      <w:r w:rsidRPr="005E5D65">
        <w:t>blanches</w:t>
      </w:r>
      <w:r>
        <w:t> </w:t>
      </w:r>
      <w:r w:rsidRPr="0041490D">
        <w:t>: illisibles, difficilement accessibles même quand elles sont physiquement présentes, et caractérisées par des retraits soudains et inexplicables d’affect et d’empathie pour leur enfant. Ces mères sont bizarrement distraites, préoccupées, souvent jusqu’à un point absurdement drôle, soit par des activités aussi banales qu’elles sont déconnectées de la réalité, soit par un deuil non explicite. Elles ne cherchent absolument pas à nuire à leur enfant : ce ne sont, dans la plupart des cas, ni des femmes explicitement « folles » –</w:t>
      </w:r>
      <w:r>
        <w:t xml:space="preserve"> elles </w:t>
      </w:r>
      <w:r w:rsidRPr="0041490D">
        <w:t>sont en général bien intégrées dans la société – ni des mères honteusement « mauvaises ».</w:t>
      </w:r>
      <w:r w:rsidRPr="0015740E">
        <w:rPr>
          <w:rStyle w:val="FootnoteReference"/>
          <w:rFonts w:cs="Times New Roman"/>
          <w:sz w:val="22"/>
          <w:szCs w:val="22"/>
          <w:vertAlign w:val="superscript"/>
        </w:rPr>
        <w:footnoteReference w:id="36"/>
      </w:r>
      <w:r w:rsidRPr="0041490D">
        <w:t xml:space="preserve"> Elles nous semblent, à la lumière de l’analyse d’André Green, tout simplement comme occasionnelles mortes.</w:t>
      </w:r>
    </w:p>
    <w:p w14:paraId="16E661D2" w14:textId="77777777" w:rsidR="0015740E" w:rsidRDefault="0015740E" w:rsidP="00BA5E94">
      <w:pPr>
        <w:pStyle w:val="PAUVK"/>
        <w:rPr>
          <w:lang w:val="fr-BE"/>
        </w:rPr>
      </w:pPr>
      <w:r w:rsidRPr="0041490D">
        <w:t xml:space="preserve">Prenons l’exemple de la mère de Fanny dans </w:t>
      </w:r>
      <w:r w:rsidRPr="0041490D">
        <w:rPr>
          <w:i/>
        </w:rPr>
        <w:t>En famille</w:t>
      </w:r>
      <w:r w:rsidRPr="0041490D">
        <w:t xml:space="preserve">. Le narrateur nous </w:t>
      </w:r>
      <w:r>
        <w:t>d</w:t>
      </w:r>
      <w:r w:rsidRPr="0041490D">
        <w:t>é</w:t>
      </w:r>
      <w:r>
        <w:t>crit</w:t>
      </w:r>
      <w:r w:rsidRPr="0041490D">
        <w:t xml:space="preserve"> une femme souvent gaie et charmante, mais qui ne semble vraiment capable de réagir aux événements, souvent violents, de l’histoire d’une manière qui démontrerait que le sort de sa fille Fanny lui est important.</w:t>
      </w:r>
      <w:r w:rsidRPr="007342F4">
        <w:rPr>
          <w:rStyle w:val="FootnoteReference"/>
          <w:rFonts w:cs="Times New Roman"/>
          <w:sz w:val="22"/>
          <w:szCs w:val="22"/>
          <w:vertAlign w:val="superscript"/>
        </w:rPr>
        <w:footnoteReference w:id="37"/>
      </w:r>
      <w:r w:rsidRPr="0041490D">
        <w:t xml:space="preserve"> Le plus flagrant exemple de ce manque de souci parental est, bien sûr, son activité ininterrompue d’hôtesse (elle s’occupe de servir l’apéritif, </w:t>
      </w:r>
      <w:r>
        <w:t>« </w:t>
      </w:r>
      <w:r w:rsidRPr="0041490D">
        <w:t>non sans entrain</w:t>
      </w:r>
      <w:r w:rsidR="007342F4">
        <w:t> »</w:t>
      </w:r>
      <w:r w:rsidR="007342F4" w:rsidRPr="007342F4">
        <w:rPr>
          <w:rStyle w:val="FootnoteReference"/>
          <w:sz w:val="22"/>
          <w:szCs w:val="22"/>
          <w:vertAlign w:val="superscript"/>
        </w:rPr>
        <w:footnoteReference w:id="38"/>
      </w:r>
      <w:r w:rsidR="007342F4">
        <w:t>)</w:t>
      </w:r>
      <w:r w:rsidRPr="0041490D">
        <w:t xml:space="preserve"> lors du dépècement mortel de Fanny par les chiens familiaux. Mais son personnage tout le long du roman nous est présenté sous le signe d’un bizarre mélange de concentration quasi-autiste, de gaieté étrangement robotique et d’assoupissement dépressif. Grande dévoratrice de feuilletons romantiques, elle est capable de visionner au cinéma, en compagnie de la petite Fanny, qui la vénère comme une déesse, le </w:t>
      </w:r>
      <w:r w:rsidRPr="0041490D">
        <w:lastRenderedPageBreak/>
        <w:t>même film trois fois de suite « sans se rendre compte qu’il n’avait pas été changé ! »</w:t>
      </w:r>
      <w:r w:rsidR="007342F4" w:rsidRPr="007342F4">
        <w:rPr>
          <w:rStyle w:val="FootnoteReference"/>
          <w:sz w:val="22"/>
          <w:szCs w:val="22"/>
          <w:vertAlign w:val="superscript"/>
        </w:rPr>
        <w:footnoteReference w:id="39"/>
      </w:r>
      <w:r>
        <w:t xml:space="preserve"> </w:t>
      </w:r>
      <w:r w:rsidRPr="0041490D">
        <w:t xml:space="preserve">Ce portrait profondément flaubertien dans son ton et même dans sa ponctuation contribue à l’impression de la mère-zombie </w:t>
      </w:r>
      <w:proofErr w:type="spellStart"/>
      <w:r>
        <w:t>ndiayïen</w:t>
      </w:r>
      <w:r w:rsidRPr="0041490D">
        <w:t>ne</w:t>
      </w:r>
      <w:proofErr w:type="spellEnd"/>
      <w:r w:rsidRPr="0041490D">
        <w:t xml:space="preserve"> par excellence, « vive et gaie »</w:t>
      </w:r>
      <w:r w:rsidR="007342F4" w:rsidRPr="007342F4">
        <w:rPr>
          <w:rStyle w:val="FootnoteReference"/>
          <w:sz w:val="22"/>
          <w:szCs w:val="22"/>
          <w:vertAlign w:val="superscript"/>
        </w:rPr>
        <w:footnoteReference w:id="40"/>
      </w:r>
      <w:r>
        <w:t xml:space="preserve"> </w:t>
      </w:r>
      <w:r w:rsidRPr="0041490D">
        <w:t>en apparence mais, à un autre niveau de réalité qui reste pourtant indéniab</w:t>
      </w:r>
      <w:r>
        <w:t>le, machinale et fantomatique. À</w:t>
      </w:r>
      <w:r w:rsidRPr="0041490D">
        <w:t xml:space="preserve"> chaque fois que Fanny adulte essaye d’impliquer sa mère dans un véritable échange émotionnel, le regard de celle-ci « se [perd] dans le vague et [demeure] souriant, léger et poli »</w:t>
      </w:r>
      <w:r w:rsidR="007342F4" w:rsidRPr="007342F4">
        <w:rPr>
          <w:rStyle w:val="FootnoteReference"/>
          <w:sz w:val="22"/>
          <w:szCs w:val="22"/>
          <w:vertAlign w:val="superscript"/>
        </w:rPr>
        <w:footnoteReference w:id="41"/>
      </w:r>
      <w:r>
        <w:t xml:space="preserve"> </w:t>
      </w:r>
      <w:r w:rsidRPr="0041490D">
        <w:t>ou bien reste « fixé sur le tableau lumineux où [s’affichent] toutes les sortes de hamburgers proposées »</w:t>
      </w:r>
      <w:r w:rsidR="007342F4" w:rsidRPr="007342F4">
        <w:rPr>
          <w:rStyle w:val="FootnoteReference"/>
          <w:sz w:val="22"/>
          <w:szCs w:val="22"/>
          <w:vertAlign w:val="superscript"/>
        </w:rPr>
        <w:footnoteReference w:id="42"/>
      </w:r>
      <w:r w:rsidRPr="0041490D">
        <w:t xml:space="preserve">. </w:t>
      </w:r>
      <w:r>
        <w:t>Les rares occasions où la mère révèle une émotion qui semblerait contenir de la passion, c’est dans une colère excessive, visant Fanny elle-même, que cette passion se manifeste</w:t>
      </w:r>
      <w:r w:rsidRPr="00DC3BB1">
        <w:rPr>
          <w:lang w:val="fr-BE"/>
        </w:rPr>
        <w:t>.</w:t>
      </w:r>
      <w:r w:rsidRPr="007342F4">
        <w:rPr>
          <w:rStyle w:val="FootnoteReference"/>
          <w:rFonts w:cs="Times New Roman"/>
          <w:sz w:val="22"/>
          <w:szCs w:val="22"/>
          <w:vertAlign w:val="superscript"/>
        </w:rPr>
        <w:footnoteReference w:id="43"/>
      </w:r>
    </w:p>
    <w:p w14:paraId="1F437CEC" w14:textId="77777777" w:rsidR="0015740E" w:rsidRPr="008C4401" w:rsidDel="005C2C2C" w:rsidRDefault="0015740E" w:rsidP="00BA5E94">
      <w:pPr>
        <w:pStyle w:val="PAUVK"/>
        <w:rPr>
          <w:lang w:val="fr-BE"/>
        </w:rPr>
      </w:pPr>
      <w:r w:rsidRPr="0041490D">
        <w:t xml:space="preserve">La caractéristique la plus frappante chez Danielle/Diane, la mère de Rosie Carpe, bien plus que sa méchanceté </w:t>
      </w:r>
      <w:r>
        <w:t>(</w:t>
      </w:r>
      <w:r w:rsidRPr="0041490D">
        <w:t xml:space="preserve">car elle n’est pas </w:t>
      </w:r>
      <w:r w:rsidRPr="0041490D">
        <w:rPr>
          <w:i/>
        </w:rPr>
        <w:t xml:space="preserve">méchante, </w:t>
      </w:r>
      <w:r w:rsidRPr="0041490D">
        <w:t>du moins, d’une manière qui serait facile à prouver devant le tribunal</w:t>
      </w:r>
      <w:r>
        <w:t>)</w:t>
      </w:r>
      <w:r w:rsidRPr="0041490D">
        <w:t xml:space="preserve"> est une indifférence presque cosmique vis-à-vis de Rosie.</w:t>
      </w:r>
      <w:r w:rsidRPr="007342F4">
        <w:rPr>
          <w:rStyle w:val="FootnoteReference"/>
          <w:rFonts w:cs="Times New Roman"/>
          <w:sz w:val="22"/>
          <w:szCs w:val="22"/>
          <w:vertAlign w:val="superscript"/>
        </w:rPr>
        <w:footnoteReference w:id="44"/>
      </w:r>
      <w:r w:rsidRPr="0041490D">
        <w:t xml:space="preserve"> Réunie fortuitement avec sa fille dans les rues d’Antony, Danielle/Diane fait preuve d’une désinvolture qui reste, pour nous, inexplicablement terrifiante : « Tiens, bonjour »</w:t>
      </w:r>
      <w:r w:rsidR="007342F4" w:rsidRPr="007342F4">
        <w:rPr>
          <w:rStyle w:val="FootnoteReference"/>
          <w:sz w:val="22"/>
          <w:szCs w:val="22"/>
          <w:vertAlign w:val="superscript"/>
        </w:rPr>
        <w:footnoteReference w:id="45"/>
      </w:r>
      <w:r w:rsidRPr="0041490D">
        <w:t>. Plus important encore que cette désinvolture, pourtant, c’est que quelque chose chez cette mère déjà plutôt distante a fondamentalement changé. Elle n’est plus ce qu’elle était</w:t>
      </w:r>
      <w:r>
        <w:t xml:space="preserve"> : la mère et le nouveau monde que cette mère a construit autour d’elle sont devenus, pour Rosie, robotiques, irréels. </w:t>
      </w:r>
      <w:r w:rsidRPr="0041490D">
        <w:t>Blonde, aérienne, et sentant le buis</w:t>
      </w:r>
      <w:r w:rsidR="007342F4" w:rsidRPr="007342F4">
        <w:rPr>
          <w:rStyle w:val="FootnoteReference"/>
          <w:sz w:val="22"/>
          <w:szCs w:val="22"/>
          <w:vertAlign w:val="superscript"/>
        </w:rPr>
        <w:footnoteReference w:id="46"/>
      </w:r>
      <w:r w:rsidRPr="0041490D">
        <w:t xml:space="preserve">, Danielle a subi une métamorphose banalement fantastique pour devenir </w:t>
      </w:r>
      <w:r>
        <w:t xml:space="preserve">une </w:t>
      </w:r>
      <w:r w:rsidRPr="0041490D">
        <w:t xml:space="preserve">Diane </w:t>
      </w:r>
      <w:r>
        <w:t>dont les intérieurs luisent d’un « </w:t>
      </w:r>
      <w:r w:rsidRPr="0041490D">
        <w:t>blanc si insurpassable qu’il lui semblait être non pas le simple blanc mais la source mê</w:t>
      </w:r>
      <w:r>
        <w:t>me de tous les blancs possibles »</w:t>
      </w:r>
      <w:r w:rsidR="007342F4" w:rsidRPr="007342F4">
        <w:rPr>
          <w:rStyle w:val="FootnoteReference"/>
          <w:sz w:val="22"/>
          <w:szCs w:val="22"/>
          <w:vertAlign w:val="superscript"/>
        </w:rPr>
        <w:footnoteReference w:id="47"/>
      </w:r>
      <w:r>
        <w:t>, et dont la voix même est devenue « blanche »</w:t>
      </w:r>
      <w:r w:rsidR="007342F4" w:rsidRPr="007342F4">
        <w:rPr>
          <w:rStyle w:val="FootnoteReference"/>
          <w:sz w:val="22"/>
          <w:szCs w:val="22"/>
          <w:vertAlign w:val="superscript"/>
        </w:rPr>
        <w:footnoteReference w:id="48"/>
      </w:r>
      <w:r w:rsidRPr="0041490D">
        <w:t xml:space="preserve">. </w:t>
      </w:r>
      <w:r>
        <w:t xml:space="preserve">Rosie, </w:t>
      </w:r>
      <w:r>
        <w:lastRenderedPageBreak/>
        <w:t>déjà gravement désorientée par la vie, doutant de sa propre identité, ressemble de plus en plus à un bébé traumatisé. Elle se révèle fondamentalement incapable de saisir la réalité de cette nouvelle mère illisible ; étourdie jusqu'à la stupeur infantile, elle est seulement consciente du fait que la nouvelle parente à laquelle elle fait face maintenant est devenue « autre chose »</w:t>
      </w:r>
      <w:r w:rsidR="0091670A" w:rsidRPr="0091670A">
        <w:rPr>
          <w:rStyle w:val="FootnoteReference"/>
          <w:sz w:val="22"/>
          <w:szCs w:val="22"/>
          <w:vertAlign w:val="superscript"/>
        </w:rPr>
        <w:footnoteReference w:id="49"/>
      </w:r>
      <w:r>
        <w:t>.</w:t>
      </w:r>
    </w:p>
    <w:p w14:paraId="7B1C3615" w14:textId="77777777" w:rsidR="0015740E" w:rsidRPr="0041490D" w:rsidDel="00DF5511" w:rsidRDefault="0015740E" w:rsidP="00BA5E94">
      <w:pPr>
        <w:pStyle w:val="PAUVK"/>
      </w:pPr>
      <w:r w:rsidRPr="0041490D">
        <w:t xml:space="preserve">Maints sont les exemples de mères </w:t>
      </w:r>
      <w:proofErr w:type="spellStart"/>
      <w:r>
        <w:t>ndiayïen</w:t>
      </w:r>
      <w:r w:rsidRPr="0041490D">
        <w:t>nes</w:t>
      </w:r>
      <w:proofErr w:type="spellEnd"/>
      <w:r w:rsidRPr="0041490D">
        <w:t xml:space="preserve"> qui manifestent, soit tout d’un coup, soit par moments intercalés, cette capacité</w:t>
      </w:r>
      <w:r>
        <w:t xml:space="preserve"> déconcertante</w:t>
      </w:r>
      <w:r w:rsidRPr="0041490D">
        <w:t xml:space="preserve"> à fuir les tentatives de communication les plus désespérées de la part leur enfant et, très souvent au même moment, une capacité à exposer, et dans la plus grande indifférence, cet enfant aux plus grands dangers qui soient. </w:t>
      </w:r>
      <w:r>
        <w:t>Dans certains textes – le roman</w:t>
      </w:r>
      <w:r w:rsidRPr="0041490D">
        <w:t xml:space="preserve"> </w:t>
      </w:r>
      <w:r w:rsidRPr="0041490D">
        <w:rPr>
          <w:i/>
        </w:rPr>
        <w:t>La Femme changée en bûche</w:t>
      </w:r>
      <w:r w:rsidR="0091670A" w:rsidRPr="0091670A">
        <w:rPr>
          <w:rStyle w:val="FootnoteReference"/>
          <w:sz w:val="22"/>
          <w:szCs w:val="22"/>
          <w:vertAlign w:val="superscript"/>
        </w:rPr>
        <w:footnoteReference w:id="50"/>
      </w:r>
      <w:r w:rsidRPr="0041490D">
        <w:t>,</w:t>
      </w:r>
      <w:r>
        <w:t xml:space="preserve"> par exemple – cette qualité « morte » chez la mère semble être présente dès le début (même s’il faut bien noter le développement d’une mort psychique de plus en plus intense, puisque la narratrice commence par tuer son enfant sur un ton de calme glacial pour finir par devenir une véritable bûche), tandis que dans d’autres histoires de NDiaye, la métamorphose maternelle semble arriver de façon soudaine et froide, déstabilisant et le lecteur et le protagoniste. Dans la pièce de théâtre</w:t>
      </w:r>
      <w:r w:rsidRPr="0041490D">
        <w:t xml:space="preserve"> </w:t>
      </w:r>
      <w:r w:rsidRPr="0041490D">
        <w:rPr>
          <w:i/>
        </w:rPr>
        <w:t>Hilda</w:t>
      </w:r>
      <w:r w:rsidR="0091670A" w:rsidRPr="0091670A">
        <w:rPr>
          <w:rStyle w:val="FootnoteReference"/>
          <w:sz w:val="22"/>
          <w:szCs w:val="22"/>
          <w:vertAlign w:val="superscript"/>
        </w:rPr>
        <w:footnoteReference w:id="51"/>
      </w:r>
      <w:r w:rsidRPr="0091670A">
        <w:t>,</w:t>
      </w:r>
      <w:r w:rsidRPr="0041490D">
        <w:t xml:space="preserve"> </w:t>
      </w:r>
      <w:r>
        <w:t>par exemple, l’invisible protagoniste éponyme se métamorphose, peu à peu, et sous l’influence abusive de son employeur Mme Lemarchand (encore un personnage du genre « mère morte », elle, restant radicalement résistante à toute interaction affective), de vigoureuse mère de famille à une espèce de croûte inhumaine, décrite par Lemarchand à la fin de la pièce comme</w:t>
      </w:r>
      <w:r w:rsidRPr="0041490D">
        <w:t xml:space="preserve"> </w:t>
      </w:r>
      <w:r>
        <w:t>« morte à pré</w:t>
      </w:r>
      <w:r w:rsidRPr="0041490D">
        <w:t>sent, morte, morte […] crevée, pfuit, comme un ballon</w:t>
      </w:r>
      <w:r>
        <w:t> »</w:t>
      </w:r>
      <w:r w:rsidR="0091670A" w:rsidRPr="0091670A">
        <w:rPr>
          <w:rStyle w:val="FootnoteReference"/>
          <w:sz w:val="22"/>
          <w:szCs w:val="22"/>
          <w:vertAlign w:val="superscript"/>
        </w:rPr>
        <w:footnoteReference w:id="52"/>
      </w:r>
      <w:r w:rsidRPr="0041490D">
        <w:t xml:space="preserve">, </w:t>
      </w:r>
      <w:r>
        <w:t>et remplacée par sa sœur toujours vivante, Corinne.</w:t>
      </w:r>
    </w:p>
    <w:p w14:paraId="0453C75B" w14:textId="77777777" w:rsidR="0015740E" w:rsidRDefault="0015740E" w:rsidP="00BA5E94">
      <w:pPr>
        <w:pStyle w:val="PAUVK"/>
      </w:pPr>
      <w:r>
        <w:t>Dans certains textes de NDiaye, le narrateur lui-m</w:t>
      </w:r>
      <w:r>
        <w:rPr>
          <w:rFonts w:cs="Arial"/>
        </w:rPr>
        <w:t>ê</w:t>
      </w:r>
      <w:r>
        <w:t>me fait un certain travail psychanalytique sur la mère morte en question, pour révéler (en toute conformité avec l’interprétation générale de Green) sa mort figurative comme le résultat d’une perte traumatisante et du deuil désavoué qui s’ensuit. La mère de Norah, « </w:t>
      </w:r>
      <w:r w:rsidRPr="0041490D">
        <w:t xml:space="preserve">machinale et </w:t>
      </w:r>
      <w:r w:rsidRPr="0041490D">
        <w:lastRenderedPageBreak/>
        <w:t>lointaine</w:t>
      </w:r>
      <w:r>
        <w:t> »</w:t>
      </w:r>
      <w:r w:rsidR="00111D56" w:rsidRPr="00111D56">
        <w:rPr>
          <w:rStyle w:val="FootnoteReference"/>
          <w:sz w:val="22"/>
          <w:szCs w:val="22"/>
          <w:vertAlign w:val="superscript"/>
        </w:rPr>
        <w:footnoteReference w:id="53"/>
      </w:r>
      <w:r w:rsidRPr="0041490D">
        <w:t xml:space="preserve"> </w:t>
      </w:r>
      <w:r>
        <w:t>est sans doute la mère morte la plus explicitement analysée de cette manière : le lecteur la voit se glisser vers une étrange apathie déconnectée (encore une fois l’on trouve un « </w:t>
      </w:r>
      <w:r w:rsidRPr="0041490D">
        <w:t>sourire lâche, comme éloigné de son visage, flottant légèrement devant elle</w:t>
      </w:r>
      <w:r>
        <w:t> »</w:t>
      </w:r>
      <w:r w:rsidR="00111D56" w:rsidRPr="00111D56">
        <w:rPr>
          <w:rStyle w:val="FootnoteReference"/>
          <w:sz w:val="22"/>
          <w:szCs w:val="22"/>
          <w:vertAlign w:val="superscript"/>
        </w:rPr>
        <w:footnoteReference w:id="54"/>
      </w:r>
      <w:r w:rsidRPr="0041490D">
        <w:t xml:space="preserve">, </w:t>
      </w:r>
      <w:r>
        <w:t>directement après que son unique fils, le petit Sony, a été saisi par son ex-mari pour aller vivre (et dans un sens mourir), loin de sa mère et ses deux sœurs a</w:t>
      </w:r>
      <w:r>
        <w:rPr>
          <w:rFonts w:cs="Arial"/>
        </w:rPr>
        <w:t>î</w:t>
      </w:r>
      <w:r>
        <w:t xml:space="preserve">nées, dans la maison froide et cruelle de son père en Afrique. </w:t>
      </w:r>
      <w:r w:rsidRPr="0041490D">
        <w:t xml:space="preserve">Dans beaucoup d’autres cas, cependant, la zombification maternelle reste énigmatique, tout comme si elle était vécue par l’enfant lui-même, c’est-à-dire dans la perplexité totale. Il va sans dire que, conformément à la proposition d’André Green, le père </w:t>
      </w:r>
      <w:proofErr w:type="spellStart"/>
      <w:r>
        <w:t>ndiayïen</w:t>
      </w:r>
      <w:proofErr w:type="spellEnd"/>
      <w:r w:rsidRPr="0041490D">
        <w:t xml:space="preserve"> n’aide guère dans ces cas-là à fournir soit une source de connectivité soit </w:t>
      </w:r>
      <w:r>
        <w:t>une</w:t>
      </w:r>
      <w:r w:rsidRPr="0041490D">
        <w:t xml:space="preserve"> vie parentale, </w:t>
      </w:r>
      <w:r>
        <w:t xml:space="preserve">car eux non plus ne sont jamais vraiment « là », pour ainsi dire. Les rares occasions où ils se présentent en chair et en os aux enfants qui ont déjà été élevés par la mère morte abandonnée – dans </w:t>
      </w:r>
      <w:r w:rsidRPr="005E79D4">
        <w:rPr>
          <w:i/>
        </w:rPr>
        <w:t>Trois femmes puissantes</w:t>
      </w:r>
      <w:r>
        <w:t xml:space="preserve">, dans </w:t>
      </w:r>
      <w:r w:rsidRPr="005E79D4">
        <w:rPr>
          <w:i/>
        </w:rPr>
        <w:t>Papa doit manger</w:t>
      </w:r>
      <w:r>
        <w:t xml:space="preserve">, et dans </w:t>
      </w:r>
      <w:r w:rsidRPr="005E79D4">
        <w:rPr>
          <w:i/>
        </w:rPr>
        <w:t>Autoportrait en vert</w:t>
      </w:r>
      <w:r>
        <w:t xml:space="preserve"> – ces Africains glaciaux ont l’air de trouver tout à fait épouvantables les rares expressions émotionnelles émises par leurs enfants hybrides, et restent, pour la plupart, tout aussi dénués d’affect que leurs ex-femmes pales et blanches.</w:t>
      </w:r>
    </w:p>
    <w:p w14:paraId="1D13ADFA" w14:textId="77777777" w:rsidR="007B0CD7" w:rsidRDefault="007B0CD7" w:rsidP="00BA5E94">
      <w:pPr>
        <w:pStyle w:val="PAUVK"/>
      </w:pPr>
    </w:p>
    <w:p w14:paraId="170600FA" w14:textId="77777777" w:rsidR="007B0CD7" w:rsidRDefault="007B0CD7" w:rsidP="00BA5E94">
      <w:pPr>
        <w:pStyle w:val="PAUVK"/>
      </w:pPr>
    </w:p>
    <w:p w14:paraId="5C60304A" w14:textId="77777777" w:rsidR="0015740E" w:rsidRPr="00DE4A0E" w:rsidRDefault="007B0CD7" w:rsidP="00DE4A0E">
      <w:pPr>
        <w:pStyle w:val="Heading2"/>
        <w:spacing w:before="0" w:after="0"/>
        <w:rPr>
          <w:lang w:val="fr-FR"/>
        </w:rPr>
      </w:pPr>
      <w:r w:rsidRPr="00DE4A0E">
        <w:rPr>
          <w:lang w:val="fr-FR"/>
        </w:rPr>
        <w:t xml:space="preserve">Comment se décharger d’une mère morte sans se dématérialiser </w:t>
      </w:r>
    </w:p>
    <w:p w14:paraId="71296CEF" w14:textId="77777777" w:rsidR="007B0CD7" w:rsidRPr="007B0CD7" w:rsidRDefault="007B0CD7" w:rsidP="00BA5E94">
      <w:pPr>
        <w:pStyle w:val="PAUVK"/>
      </w:pPr>
    </w:p>
    <w:p w14:paraId="5D44F5CC" w14:textId="77777777" w:rsidR="00782DEE" w:rsidRDefault="0015740E" w:rsidP="00782DEE">
      <w:pPr>
        <w:pStyle w:val="PNUVK"/>
      </w:pPr>
      <w:r w:rsidRPr="0041490D">
        <w:t xml:space="preserve">Dans la nouvelle </w:t>
      </w:r>
      <w:r w:rsidRPr="00782DEE">
        <w:rPr>
          <w:i/>
        </w:rPr>
        <w:t xml:space="preserve">Une journée de </w:t>
      </w:r>
      <w:proofErr w:type="spellStart"/>
      <w:r w:rsidRPr="00782DEE">
        <w:rPr>
          <w:i/>
        </w:rPr>
        <w:t>Brulard</w:t>
      </w:r>
      <w:proofErr w:type="spellEnd"/>
      <w:r w:rsidR="00782DEE" w:rsidRPr="00782DEE">
        <w:rPr>
          <w:rStyle w:val="FootnoteReference"/>
          <w:sz w:val="22"/>
          <w:szCs w:val="22"/>
          <w:vertAlign w:val="superscript"/>
        </w:rPr>
        <w:footnoteReference w:id="55"/>
      </w:r>
      <w:r w:rsidRPr="0041490D">
        <w:t>, étude magistrale d’une étape avan</w:t>
      </w:r>
      <w:r>
        <w:t xml:space="preserve">cée du complexe </w:t>
      </w:r>
      <w:proofErr w:type="spellStart"/>
      <w:r>
        <w:t>greenien</w:t>
      </w:r>
      <w:proofErr w:type="spellEnd"/>
      <w:r w:rsidRPr="0041490D">
        <w:t>, la protagoniste éponyme est accablée p</w:t>
      </w:r>
      <w:r>
        <w:t>ar les spectres de sa mère tout récemment défunte</w:t>
      </w:r>
      <w:r w:rsidRPr="0041490D">
        <w:t xml:space="preserve">. Pour la fausse, tragique, errante actrice, </w:t>
      </w:r>
      <w:r>
        <w:t>È</w:t>
      </w:r>
      <w:r w:rsidRPr="0041490D">
        <w:t xml:space="preserve">ve </w:t>
      </w:r>
      <w:proofErr w:type="spellStart"/>
      <w:r w:rsidRPr="0041490D">
        <w:t>Brulard</w:t>
      </w:r>
      <w:proofErr w:type="spellEnd"/>
      <w:r w:rsidRPr="0041490D">
        <w:t>, déjà assoupie par le froid et par l</w:t>
      </w:r>
      <w:r>
        <w:t>a</w:t>
      </w:r>
      <w:r w:rsidRPr="0041490D">
        <w:t xml:space="preserve"> sensation </w:t>
      </w:r>
      <w:r>
        <w:t>ré</w:t>
      </w:r>
      <w:r w:rsidRPr="0041490D">
        <w:t xml:space="preserve">currente de ne plus exister, c’est dans la montagne du village vacancier que le blanc esprit maternel, omniprésent et moqueur, se logera. </w:t>
      </w:r>
      <w:r>
        <w:t>Pourtant, b</w:t>
      </w:r>
      <w:r w:rsidRPr="0041490D">
        <w:t>ien plus effrayante</w:t>
      </w:r>
      <w:r>
        <w:t xml:space="preserve"> qu’une È</w:t>
      </w:r>
      <w:r w:rsidRPr="0041490D">
        <w:t>ve folle et singulière dans son complexe de mère morte, serait la théorie suggérée par le narrateur de NDiaye, selon laquelle :</w:t>
      </w:r>
    </w:p>
    <w:p w14:paraId="39967F62" w14:textId="77777777" w:rsidR="00782DEE" w:rsidRDefault="00782DEE" w:rsidP="00782DEE">
      <w:pPr>
        <w:pStyle w:val="PNUVK"/>
      </w:pPr>
    </w:p>
    <w:p w14:paraId="5DA19822" w14:textId="77777777" w:rsidR="0015740E" w:rsidRDefault="0015740E" w:rsidP="00782DEE">
      <w:pPr>
        <w:pStyle w:val="Quote"/>
        <w:ind w:left="567"/>
        <w:rPr>
          <w:vertAlign w:val="superscript"/>
          <w:lang w:val="fr-FR"/>
        </w:rPr>
      </w:pPr>
      <w:r w:rsidRPr="00782DEE">
        <w:rPr>
          <w:lang w:val="fr-FR"/>
        </w:rPr>
        <w:t>[P]</w:t>
      </w:r>
      <w:proofErr w:type="spellStart"/>
      <w:r w:rsidRPr="00782DEE">
        <w:rPr>
          <w:lang w:val="fr-FR"/>
        </w:rPr>
        <w:t>our</w:t>
      </w:r>
      <w:proofErr w:type="spellEnd"/>
      <w:r w:rsidRPr="00782DEE">
        <w:rPr>
          <w:lang w:val="fr-FR"/>
        </w:rPr>
        <w:t xml:space="preserve"> chacun de ces vacanciers, une mère </w:t>
      </w:r>
      <w:proofErr w:type="spellStart"/>
      <w:r w:rsidRPr="00782DEE">
        <w:rPr>
          <w:lang w:val="fr-FR"/>
        </w:rPr>
        <w:t>Brulard</w:t>
      </w:r>
      <w:proofErr w:type="spellEnd"/>
      <w:r w:rsidRPr="00782DEE">
        <w:rPr>
          <w:lang w:val="fr-FR"/>
        </w:rPr>
        <w:t xml:space="preserve"> propre à chacun d’eux et que chacun nommait à sa façon </w:t>
      </w:r>
      <w:proofErr w:type="gramStart"/>
      <w:r w:rsidRPr="00782DEE">
        <w:rPr>
          <w:lang w:val="fr-FR"/>
        </w:rPr>
        <w:t>secrète[</w:t>
      </w:r>
      <w:proofErr w:type="gramEnd"/>
      <w:r w:rsidRPr="00782DEE">
        <w:rPr>
          <w:lang w:val="fr-FR"/>
        </w:rPr>
        <w:t xml:space="preserve">…] avait pris la forme et l’allure de la </w:t>
      </w:r>
      <w:r w:rsidRPr="00782DEE">
        <w:rPr>
          <w:lang w:val="fr-FR"/>
        </w:rPr>
        <w:lastRenderedPageBreak/>
        <w:t xml:space="preserve">montagne, épiant, jugeant, se croyant seule et chacun, comme </w:t>
      </w:r>
      <w:proofErr w:type="spellStart"/>
      <w:r w:rsidRPr="00782DEE">
        <w:rPr>
          <w:lang w:val="fr-FR"/>
        </w:rPr>
        <w:t>Brulard</w:t>
      </w:r>
      <w:proofErr w:type="spellEnd"/>
      <w:r w:rsidRPr="00782DEE">
        <w:rPr>
          <w:lang w:val="fr-FR"/>
        </w:rPr>
        <w:t>, la croyant seule et unique.</w:t>
      </w:r>
      <w:r w:rsidR="00782DEE" w:rsidRPr="00782DEE">
        <w:rPr>
          <w:rStyle w:val="FootnoteReference"/>
          <w:vertAlign w:val="superscript"/>
        </w:rPr>
        <w:footnoteReference w:id="56"/>
      </w:r>
      <w:r w:rsidRPr="00782DEE">
        <w:rPr>
          <w:vertAlign w:val="superscript"/>
          <w:lang w:val="fr-FR"/>
        </w:rPr>
        <w:t xml:space="preserve"> </w:t>
      </w:r>
    </w:p>
    <w:p w14:paraId="1B563FC6" w14:textId="77777777" w:rsidR="00782DEE" w:rsidRPr="00782DEE" w:rsidRDefault="00782DEE" w:rsidP="00782DEE">
      <w:pPr>
        <w:rPr>
          <w:lang w:val="fr-FR"/>
        </w:rPr>
      </w:pPr>
    </w:p>
    <w:p w14:paraId="56D9463A" w14:textId="77777777" w:rsidR="0015740E" w:rsidRPr="0041490D" w:rsidDel="00637536" w:rsidRDefault="0015740E" w:rsidP="0015740E">
      <w:pPr>
        <w:pStyle w:val="PNUVK"/>
      </w:pPr>
      <w:r w:rsidRPr="0041490D">
        <w:t xml:space="preserve">À travers cette suggestion impudente NDiaye ne pose-t-elle pas, encore une fois, la question de l’universalisme potentiel d’une certaine forme de souffrance familiale ? Ne </w:t>
      </w:r>
      <w:proofErr w:type="spellStart"/>
      <w:r w:rsidRPr="0041490D">
        <w:t>fait-elle</w:t>
      </w:r>
      <w:proofErr w:type="spellEnd"/>
      <w:r w:rsidRPr="0041490D">
        <w:t xml:space="preserve"> pas exactement ce qu’elle avait réussi à travers la figure de </w:t>
      </w:r>
      <w:proofErr w:type="spellStart"/>
      <w:r w:rsidRPr="0041490D">
        <w:t>Lagrand</w:t>
      </w:r>
      <w:proofErr w:type="spellEnd"/>
      <w:r w:rsidRPr="0041490D">
        <w:t xml:space="preserve"> dans </w:t>
      </w:r>
      <w:r w:rsidRPr="0041490D">
        <w:rPr>
          <w:i/>
        </w:rPr>
        <w:t>Rosie Carpe</w:t>
      </w:r>
      <w:r w:rsidRPr="0041490D">
        <w:t xml:space="preserve">, </w:t>
      </w:r>
      <w:proofErr w:type="spellStart"/>
      <w:r w:rsidRPr="0041490D">
        <w:t>Lagrand</w:t>
      </w:r>
      <w:proofErr w:type="spellEnd"/>
      <w:r w:rsidRPr="0041490D">
        <w:t>, « ce Noir </w:t>
      </w:r>
      <w:r>
        <w:t xml:space="preserve">à peau claire </w:t>
      </w:r>
      <w:r w:rsidRPr="0041490D">
        <w:t>»</w:t>
      </w:r>
      <w:r w:rsidR="000D5675" w:rsidRPr="000D5675">
        <w:rPr>
          <w:rStyle w:val="FootnoteReference"/>
          <w:sz w:val="22"/>
          <w:szCs w:val="22"/>
          <w:vertAlign w:val="superscript"/>
        </w:rPr>
        <w:footnoteReference w:id="57"/>
      </w:r>
      <w:r w:rsidRPr="0041490D">
        <w:t xml:space="preserve"> qui n’est peut-être pas le frère de la blanche-jaune-grise Rosie, mais qui finit par être révélé comme encore </w:t>
      </w:r>
      <w:r>
        <w:t>l’</w:t>
      </w:r>
      <w:r w:rsidRPr="0041490D">
        <w:t>un de ces enfants de mères mortes, enfants accrochés à la pensée circulaire, enfants hantés comme tous les autres – blancs, noirs, arabes et métis – par le même blanc inutile ?</w:t>
      </w:r>
      <w:r>
        <w:t xml:space="preserve"> La vision </w:t>
      </w:r>
      <w:proofErr w:type="spellStart"/>
      <w:r>
        <w:t>ndiayïenne</w:t>
      </w:r>
      <w:proofErr w:type="spellEnd"/>
      <w:r>
        <w:t xml:space="preserve"> du monde élargit la théorie d’André Green de maniè</w:t>
      </w:r>
      <w:r w:rsidRPr="0041490D">
        <w:t xml:space="preserve">re radicale et fascinante : elle postule, nous semble-t-il, </w:t>
      </w:r>
      <w:r>
        <w:rPr>
          <w:i/>
        </w:rPr>
        <w:t>une situation contemporaine et généralisée de complexe de mè</w:t>
      </w:r>
      <w:r w:rsidRPr="0041490D">
        <w:rPr>
          <w:i/>
        </w:rPr>
        <w:t>re morte</w:t>
      </w:r>
      <w:r w:rsidRPr="0041490D">
        <w:t>. Le point de départ psychologique dans les écrits de NDiaye, le degré zéro des mentalités qu’elle décrit, elle peut</w:t>
      </w:r>
      <w:r>
        <w:t xml:space="preserve"> décliner</w:t>
      </w:r>
      <w:r w:rsidRPr="0041490D">
        <w:t xml:space="preserve"> élaborer la condition à son gré, y ajoutant toutes sortes de particularité</w:t>
      </w:r>
      <w:r>
        <w:t xml:space="preserve">s sociales : </w:t>
      </w:r>
      <w:r w:rsidRPr="0041490D">
        <w:t xml:space="preserve">nous pensons surtout à </w:t>
      </w:r>
      <w:r>
        <w:t xml:space="preserve">sa fascinante </w:t>
      </w:r>
      <w:r w:rsidRPr="0041490D">
        <w:t>racialisation du complexe</w:t>
      </w:r>
      <w:r>
        <w:t>, que nous analysons ailleurs</w:t>
      </w:r>
      <w:r w:rsidR="000D5675">
        <w:t>.</w:t>
      </w:r>
      <w:r w:rsidR="000D5675" w:rsidRPr="000D5675">
        <w:rPr>
          <w:rStyle w:val="FootnoteReference"/>
          <w:sz w:val="22"/>
          <w:szCs w:val="22"/>
          <w:vertAlign w:val="superscript"/>
        </w:rPr>
        <w:footnoteReference w:id="58"/>
      </w:r>
    </w:p>
    <w:p w14:paraId="6867FADB" w14:textId="77777777" w:rsidR="0015740E" w:rsidRPr="005376EF" w:rsidRDefault="0015740E" w:rsidP="00BA5E94">
      <w:pPr>
        <w:pStyle w:val="PAUVK"/>
      </w:pPr>
      <w:r w:rsidRPr="0041490D">
        <w:t xml:space="preserve">Nous allons conclure par une brève considération de certains développements importants que nous voyons dans </w:t>
      </w:r>
      <w:r>
        <w:t>quelques</w:t>
      </w:r>
      <w:r w:rsidRPr="0041490D">
        <w:t xml:space="preserve"> textes récents</w:t>
      </w:r>
      <w:r>
        <w:t xml:space="preserve"> en ce qui concerne</w:t>
      </w:r>
      <w:r w:rsidRPr="0041490D">
        <w:t xml:space="preserve"> la représentation d</w:t>
      </w:r>
      <w:r>
        <w:t xml:space="preserve">’une sorte de « happy end » pour </w:t>
      </w:r>
      <w:proofErr w:type="gramStart"/>
      <w:r>
        <w:t>les</w:t>
      </w:r>
      <w:r w:rsidRPr="0041490D">
        <w:t xml:space="preserve"> complex</w:t>
      </w:r>
      <w:r>
        <w:t>é</w:t>
      </w:r>
      <w:proofErr w:type="gramEnd"/>
      <w:r>
        <w:t>(e)s</w:t>
      </w:r>
      <w:r w:rsidRPr="0041490D">
        <w:t xml:space="preserve"> de la mère morte </w:t>
      </w:r>
      <w:proofErr w:type="spellStart"/>
      <w:r>
        <w:t>ndiayïen</w:t>
      </w:r>
      <w:r w:rsidRPr="0041490D">
        <w:t>ne</w:t>
      </w:r>
      <w:proofErr w:type="spellEnd"/>
      <w:r w:rsidRPr="0041490D">
        <w:t xml:space="preserve">. </w:t>
      </w:r>
      <w:r>
        <w:t>Chacun de c</w:t>
      </w:r>
      <w:r w:rsidRPr="0041490D">
        <w:t>es textes</w:t>
      </w:r>
      <w:r>
        <w:t xml:space="preserve"> récents</w:t>
      </w:r>
      <w:r w:rsidRPr="0041490D">
        <w:t xml:space="preserve"> fournit un dénouement pour le complexe qui n’est pas l’inévitable dissolution du sujet. </w:t>
      </w:r>
      <w:r>
        <w:t xml:space="preserve">Voici une nouvelle direction, une dernière étape presque optimiste, traçant de nouveaux chemins de transcendance et de guérison potentielle (ce qui est une considération bizarrement rare dans le </w:t>
      </w:r>
      <w:r w:rsidRPr="005376EF">
        <w:t>matériel psychanalytique qui explore de « vrais » complexés de mère morte). Après tout, l</w:t>
      </w:r>
      <w:r>
        <w:t>’identification absolue au trou, au blanc</w:t>
      </w:r>
      <w:r w:rsidRPr="005376EF">
        <w:t xml:space="preserve"> et</w:t>
      </w:r>
      <w:r>
        <w:t xml:space="preserve"> à </w:t>
      </w:r>
      <w:r w:rsidRPr="005376EF">
        <w:t xml:space="preserve">mort elle-même n’est pas un sort inévitable et irréversible pour tout enfant de mère morte. Comme </w:t>
      </w:r>
      <w:proofErr w:type="gramStart"/>
      <w:r>
        <w:t xml:space="preserve">le </w:t>
      </w:r>
      <w:r w:rsidRPr="005376EF">
        <w:t>note</w:t>
      </w:r>
      <w:proofErr w:type="gramEnd"/>
      <w:r w:rsidRPr="005376EF">
        <w:t xml:space="preserve"> si bien </w:t>
      </w:r>
      <w:r>
        <w:t xml:space="preserve">Arnold H. </w:t>
      </w:r>
      <w:proofErr w:type="spellStart"/>
      <w:r w:rsidRPr="005376EF">
        <w:t>Modell</w:t>
      </w:r>
      <w:proofErr w:type="spellEnd"/>
      <w:r w:rsidRPr="005376EF">
        <w:t xml:space="preserve">, dans des cas particulièrement heureux, le complexe peut même donner lieu à une réponse </w:t>
      </w:r>
      <w:r>
        <w:t>« </w:t>
      </w:r>
      <w:r w:rsidRPr="005376EF">
        <w:t>positive</w:t>
      </w:r>
      <w:r>
        <w:t xml:space="preserve"> » </w:t>
      </w:r>
      <w:r w:rsidRPr="005376EF">
        <w:t xml:space="preserve">chez </w:t>
      </w:r>
      <w:r w:rsidRPr="005376EF">
        <w:lastRenderedPageBreak/>
        <w:t>l’enfant</w:t>
      </w:r>
      <w:r>
        <w:t xml:space="preserve"> qui développe</w:t>
      </w:r>
      <w:r w:rsidRPr="005376EF">
        <w:t xml:space="preserve"> </w:t>
      </w:r>
      <w:r>
        <w:t>« </w:t>
      </w:r>
      <w:r w:rsidRPr="005376EF">
        <w:t xml:space="preserve">a </w:t>
      </w:r>
      <w:proofErr w:type="spellStart"/>
      <w:r w:rsidRPr="005376EF">
        <w:t>compensatory</w:t>
      </w:r>
      <w:proofErr w:type="spellEnd"/>
      <w:r w:rsidRPr="005376EF">
        <w:t xml:space="preserve"> </w:t>
      </w:r>
      <w:proofErr w:type="spellStart"/>
      <w:r w:rsidRPr="005376EF">
        <w:t>hypersensitivity</w:t>
      </w:r>
      <w:proofErr w:type="spellEnd"/>
      <w:r w:rsidRPr="005376EF">
        <w:t xml:space="preserve"> </w:t>
      </w:r>
      <w:r>
        <w:t xml:space="preserve">to the </w:t>
      </w:r>
      <w:proofErr w:type="spellStart"/>
      <w:r>
        <w:t>inner</w:t>
      </w:r>
      <w:proofErr w:type="spellEnd"/>
      <w:r>
        <w:t xml:space="preserve"> state of the </w:t>
      </w:r>
      <w:proofErr w:type="spellStart"/>
      <w:r>
        <w:t>other</w:t>
      </w:r>
      <w:proofErr w:type="spellEnd"/>
      <w:r>
        <w:t> »</w:t>
      </w:r>
      <w:r w:rsidR="000D5675">
        <w:t>.</w:t>
      </w:r>
      <w:r w:rsidR="000D5675" w:rsidRPr="000D5675">
        <w:rPr>
          <w:rStyle w:val="FootnoteReference"/>
          <w:sz w:val="22"/>
          <w:szCs w:val="22"/>
          <w:vertAlign w:val="superscript"/>
        </w:rPr>
        <w:footnoteReference w:id="59"/>
      </w:r>
    </w:p>
    <w:p w14:paraId="780F90F3" w14:textId="77777777" w:rsidR="0015740E" w:rsidRDefault="0015740E" w:rsidP="00BA5E94">
      <w:pPr>
        <w:pStyle w:val="PAUVK"/>
      </w:pPr>
      <w:r w:rsidRPr="002413E2">
        <w:t>L</w:t>
      </w:r>
      <w:r w:rsidRPr="0041490D">
        <w:t>a narratrice de l</w:t>
      </w:r>
      <w:r w:rsidRPr="0041490D">
        <w:rPr>
          <w:i/>
        </w:rPr>
        <w:t>’Autoportrait en vert</w:t>
      </w:r>
      <w:r>
        <w:t xml:space="preserve"> est subjuguée</w:t>
      </w:r>
      <w:r w:rsidRPr="0041490D">
        <w:t xml:space="preserve"> </w:t>
      </w:r>
      <w:r>
        <w:t>le long de son récit par les spectrales « femmes en vert »</w:t>
      </w:r>
      <w:r w:rsidRPr="0041490D">
        <w:t>,</w:t>
      </w:r>
      <w:r>
        <w:t xml:space="preserve"> dépressives, suicidaires, ou déjà suicidées. Toutes sont radicalement indifférentes à la narratrice elle-même, sauf dans la mesure où elle leur sert de contenant passif dans lequel elles peuvent verser leurs propres « blancs » récits de mélancolie, de perte et de dissolution. Et tandis que la narratrice est, à plusieurs égards, la protagoniste la plus psychotique de tout l’œuvre </w:t>
      </w:r>
      <w:proofErr w:type="spellStart"/>
      <w:r>
        <w:t>ndiayïen</w:t>
      </w:r>
      <w:proofErr w:type="spellEnd"/>
      <w:r>
        <w:t>, ce qu’elle obtient à la fin du texte est un aperçu fondamentale</w:t>
      </w:r>
      <w:r w:rsidR="00DE4A0E">
        <w:softHyphen/>
      </w:r>
      <w:r>
        <w:t xml:space="preserve">ment guérissant : que ses propres parents incarnent précisément cette qualité morte qui l’a tellement fascinée chez les « femmes en vert » lugubres et loquaces. </w:t>
      </w:r>
      <w:r w:rsidRPr="0041490D">
        <w:t>C’est en rendant visite, à Marseille, à la mère « intouchable, décevante, métamorphosable à l’infini »</w:t>
      </w:r>
      <w:r w:rsidR="00AA5814" w:rsidRPr="001722F1">
        <w:rPr>
          <w:rStyle w:val="FootnoteReference"/>
          <w:sz w:val="22"/>
          <w:szCs w:val="22"/>
          <w:vertAlign w:val="superscript"/>
        </w:rPr>
        <w:footnoteReference w:id="60"/>
      </w:r>
      <w:r w:rsidRPr="001722F1">
        <w:rPr>
          <w:vertAlign w:val="superscript"/>
        </w:rPr>
        <w:t xml:space="preserve"> </w:t>
      </w:r>
      <w:r w:rsidRPr="0041490D">
        <w:t>et à Ouagadougou au père anorexique, dépressif, au regard « opaque et vide »</w:t>
      </w:r>
      <w:r w:rsidR="001722F1" w:rsidRPr="001722F1">
        <w:rPr>
          <w:rStyle w:val="FootnoteReference"/>
          <w:sz w:val="22"/>
          <w:szCs w:val="22"/>
          <w:vertAlign w:val="superscript"/>
        </w:rPr>
        <w:footnoteReference w:id="61"/>
      </w:r>
      <w:r>
        <w:rPr>
          <w:i/>
        </w:rPr>
        <w:t xml:space="preserve"> </w:t>
      </w:r>
      <w:r w:rsidRPr="0041490D">
        <w:t xml:space="preserve">que la narratrice réussira à voir et à écouter autre chose </w:t>
      </w:r>
      <w:r>
        <w:t xml:space="preserve">que </w:t>
      </w:r>
      <w:r w:rsidRPr="0041490D">
        <w:t xml:space="preserve">ces monologues obsessionnels des femmes en vert, femmes mornes, narcissiques, spectrales, suicidaires. C’est en faisant face à la triste réalité de l’incapacité de </w:t>
      </w:r>
      <w:r>
        <w:t>s</w:t>
      </w:r>
      <w:r w:rsidRPr="0041490D">
        <w:t>es vrais parents « </w:t>
      </w:r>
      <w:proofErr w:type="spellStart"/>
      <w:r w:rsidRPr="0041490D">
        <w:t>végétati</w:t>
      </w:r>
      <w:proofErr w:type="spellEnd"/>
      <w:r>
        <w:t>[</w:t>
      </w:r>
      <w:proofErr w:type="spellStart"/>
      <w:r w:rsidRPr="0041490D">
        <w:t>fs</w:t>
      </w:r>
      <w:proofErr w:type="spellEnd"/>
      <w:r>
        <w:t>]</w:t>
      </w:r>
      <w:r w:rsidRPr="0041490D">
        <w:t> »</w:t>
      </w:r>
      <w:r w:rsidR="001722F1" w:rsidRPr="001722F1">
        <w:rPr>
          <w:rStyle w:val="FootnoteReference"/>
          <w:sz w:val="22"/>
          <w:szCs w:val="22"/>
          <w:vertAlign w:val="superscript"/>
        </w:rPr>
        <w:footnoteReference w:id="62"/>
      </w:r>
      <w:r>
        <w:rPr>
          <w:i/>
        </w:rPr>
        <w:t xml:space="preserve"> </w:t>
      </w:r>
      <w:r w:rsidRPr="0041490D">
        <w:t xml:space="preserve">à la </w:t>
      </w:r>
      <w:r w:rsidRPr="006124D1">
        <w:rPr>
          <w:i/>
        </w:rPr>
        <w:t>voir</w:t>
      </w:r>
      <w:r w:rsidRPr="0041490D">
        <w:t xml:space="preserve"> – et à reconnaître l’existence de leurs cinq petits-enfants – que cette narratrice hallucinante pourra mettre</w:t>
      </w:r>
      <w:r>
        <w:t xml:space="preserve"> </w:t>
      </w:r>
      <w:r w:rsidRPr="0041490D">
        <w:t xml:space="preserve">fin, peut-être, à ses interminables histoires de femmes en vert. Elle arrêtera, peut-être, de </w:t>
      </w:r>
      <w:r w:rsidRPr="0041490D">
        <w:rPr>
          <w:i/>
        </w:rPr>
        <w:t>répéter</w:t>
      </w:r>
      <w:r w:rsidRPr="0041490D">
        <w:t xml:space="preserve"> la dépression infantile, pour réussir à passer, comme si peu d’autres protagonistes </w:t>
      </w:r>
      <w:proofErr w:type="spellStart"/>
      <w:r>
        <w:t>ndiayïen</w:t>
      </w:r>
      <w:r w:rsidRPr="0041490D">
        <w:t>s</w:t>
      </w:r>
      <w:proofErr w:type="spellEnd"/>
      <w:r w:rsidRPr="0041490D">
        <w:t xml:space="preserve">, à </w:t>
      </w:r>
      <w:r w:rsidRPr="0041490D">
        <w:rPr>
          <w:i/>
        </w:rPr>
        <w:t>autre chose</w:t>
      </w:r>
      <w:r w:rsidRPr="0041490D">
        <w:t>.</w:t>
      </w:r>
      <w:r>
        <w:t xml:space="preserve"> Car même si la vision, dans le dénouement du récit, d’un objet innommable que ses enfants sont en train de poursuivre dans la rue, est vraiment terrifiante, il y a néanmoins quelque chose dans l’apparition abjecte et inattendue de cette « forme sombre »</w:t>
      </w:r>
      <w:r w:rsidR="001722F1" w:rsidRPr="001722F1">
        <w:rPr>
          <w:rStyle w:val="FootnoteReference"/>
          <w:sz w:val="22"/>
          <w:szCs w:val="22"/>
          <w:vertAlign w:val="superscript"/>
        </w:rPr>
        <w:footnoteReference w:id="63"/>
      </w:r>
      <w:r>
        <w:t xml:space="preserve"> rapide et fuyante qui, pour nous, annonce la transition de complexe de mère morte vers quelque chose de moins prévisible, quelque chose qui </w:t>
      </w:r>
      <w:r w:rsidRPr="006124D1">
        <w:rPr>
          <w:i/>
        </w:rPr>
        <w:t>bouge</w:t>
      </w:r>
      <w:r>
        <w:t xml:space="preserve"> enfin.</w:t>
      </w:r>
      <w:r w:rsidRPr="001722F1">
        <w:rPr>
          <w:rStyle w:val="FootnoteReference"/>
          <w:rFonts w:cs="Times New Roman"/>
          <w:sz w:val="22"/>
          <w:szCs w:val="22"/>
          <w:vertAlign w:val="superscript"/>
        </w:rPr>
        <w:footnoteReference w:id="64"/>
      </w:r>
    </w:p>
    <w:p w14:paraId="0838C1FA" w14:textId="77777777" w:rsidR="0015740E" w:rsidRPr="00C701A3" w:rsidRDefault="0015740E" w:rsidP="00BA5E94">
      <w:pPr>
        <w:pStyle w:val="PAUVK"/>
      </w:pPr>
      <w:r w:rsidRPr="0041490D">
        <w:lastRenderedPageBreak/>
        <w:t>Ne trouvons-nous pas, dans le bizarre dénouement de ce texte – la fuite de la « chose » noire, cette « chose » qui « n’a pas de nom dans notre langue »</w:t>
      </w:r>
      <w:r w:rsidR="001722F1" w:rsidRPr="001722F1">
        <w:rPr>
          <w:rStyle w:val="FootnoteReference"/>
          <w:sz w:val="22"/>
          <w:szCs w:val="22"/>
          <w:vertAlign w:val="superscript"/>
        </w:rPr>
        <w:footnoteReference w:id="65"/>
      </w:r>
      <w:r>
        <w:t xml:space="preserve"> – </w:t>
      </w:r>
      <w:r w:rsidRPr="0041490D">
        <w:t>une première allusion à la création de soi-même qui est représenté</w:t>
      </w:r>
      <w:r>
        <w:t>e</w:t>
      </w:r>
      <w:r w:rsidRPr="0041490D">
        <w:t xml:space="preserve"> à la fin de </w:t>
      </w:r>
      <w:r w:rsidRPr="0041490D">
        <w:rPr>
          <w:i/>
        </w:rPr>
        <w:t>Mon cœur à l’étroit</w:t>
      </w:r>
      <w:r w:rsidR="001722F1" w:rsidRPr="001722F1">
        <w:rPr>
          <w:rStyle w:val="FootnoteReference"/>
          <w:sz w:val="22"/>
          <w:szCs w:val="22"/>
          <w:vertAlign w:val="superscript"/>
        </w:rPr>
        <w:footnoteReference w:id="66"/>
      </w:r>
      <w:r>
        <w:t xml:space="preserve"> </w:t>
      </w:r>
      <w:r w:rsidRPr="0041490D">
        <w:t>par l’accouchement fantastique de Nadia d’une « chose noire et luisante »</w:t>
      </w:r>
      <w:r w:rsidRPr="001722F1">
        <w:rPr>
          <w:rStyle w:val="FootnoteReference"/>
          <w:rFonts w:cs="Times New Roman"/>
          <w:sz w:val="22"/>
          <w:szCs w:val="22"/>
          <w:vertAlign w:val="superscript"/>
        </w:rPr>
        <w:footnoteReference w:id="67"/>
      </w:r>
      <w:r w:rsidR="001722F1">
        <w:t>.</w:t>
      </w:r>
      <w:r>
        <w:t xml:space="preserve"> </w:t>
      </w:r>
      <w:r w:rsidRPr="0041490D">
        <w:t>Nadia, tout comme la narratrice de l’</w:t>
      </w:r>
      <w:r w:rsidRPr="0041490D">
        <w:rPr>
          <w:i/>
        </w:rPr>
        <w:t>Autoportrait</w:t>
      </w:r>
      <w:r w:rsidRPr="0041490D">
        <w:t>,</w:t>
      </w:r>
      <w:r w:rsidRPr="0041490D">
        <w:rPr>
          <w:i/>
        </w:rPr>
        <w:t xml:space="preserve"> </w:t>
      </w:r>
      <w:r w:rsidRPr="0041490D">
        <w:t>aura l’opportunité de voyager vers un nouvel endroit psychique et existentiel, de voir de manière plutôt lucide à quel point elle a été baignée dans la mort psychique et dans l’immobilité émotionnelle. Encore une fois, la possibilité de son développement ne sera accordée que par l’acceptation de l’impos</w:t>
      </w:r>
      <w:r w:rsidR="00B76ACD">
        <w:softHyphen/>
      </w:r>
      <w:r w:rsidRPr="0041490D">
        <w:t>sibilité d’une relation qu’elle ava</w:t>
      </w:r>
      <w:r>
        <w:t xml:space="preserve">it toujours crue interminable : </w:t>
      </w:r>
      <w:r w:rsidRPr="0041490D">
        <w:t>son mariage avec Ange</w:t>
      </w:r>
      <w:r>
        <w:t xml:space="preserve"> le Blanc bien blanc, la manifestation de son propre complexe de mère morte</w:t>
      </w:r>
      <w:r w:rsidRPr="0041490D">
        <w:t xml:space="preserve">. C’est en abandonnant cette relation pestilentielle et mortifère </w:t>
      </w:r>
      <w:r>
        <w:t xml:space="preserve">(et sa propre identité adulte de mère morte abusive) </w:t>
      </w:r>
      <w:r w:rsidRPr="0041490D">
        <w:t>pour avancer de plus en plus profondément vers une expérience d’elle-même qui est abjecte, certes, mais qui contient aussi la possibilité d’une guérison, que Nadia trouvera une certaine forme de tranquillité. Même si nous ne sommes pas entièrement persuadés par ce</w:t>
      </w:r>
      <w:r>
        <w:t xml:space="preserve"> joyeux dénouement si résolument « racine-centrique » (</w:t>
      </w:r>
      <w:r w:rsidRPr="0041490D">
        <w:t xml:space="preserve">réunion avec les pauvres parents métèques si injustement délaissés, </w:t>
      </w:r>
      <w:r>
        <w:t xml:space="preserve">etc.) </w:t>
      </w:r>
      <w:r w:rsidRPr="0041490D">
        <w:t xml:space="preserve">nous soulignons simplement que dans </w:t>
      </w:r>
      <w:r w:rsidRPr="0041490D">
        <w:rPr>
          <w:i/>
        </w:rPr>
        <w:t>Mon cœur à l’étroit</w:t>
      </w:r>
      <w:r w:rsidRPr="0041490D">
        <w:t>, tout comme dans l’</w:t>
      </w:r>
      <w:r w:rsidRPr="0041490D">
        <w:rPr>
          <w:i/>
        </w:rPr>
        <w:t>Autoportrait en vert</w:t>
      </w:r>
      <w:r w:rsidRPr="0041490D">
        <w:t>,</w:t>
      </w:r>
      <w:r w:rsidRPr="0041490D">
        <w:rPr>
          <w:i/>
        </w:rPr>
        <w:t xml:space="preserve"> </w:t>
      </w:r>
      <w:r w:rsidRPr="0041490D">
        <w:t xml:space="preserve">nous avons affaire à un texte dans lequel la protagoniste trouvera une nouvelle forme d’être qui n’est pas forcément en lambeaux. Il n’est pas anecdotique de noter que dans </w:t>
      </w:r>
      <w:r w:rsidRPr="0041490D">
        <w:rPr>
          <w:i/>
        </w:rPr>
        <w:t>Mon cœur à l’étroit</w:t>
      </w:r>
      <w:r w:rsidRPr="0041490D">
        <w:t>, le personnage qui a été littéralement troué – Ange – se trouvera fantastiquement cicatrisé dans les dernières pages</w:t>
      </w:r>
      <w:r>
        <w:t xml:space="preserve"> (dans un chapitre final intitulé « Tous guéris »)</w:t>
      </w:r>
      <w:r w:rsidRPr="0041490D">
        <w:t>, ni de remarquer que selon NDiaye elle-même, l’</w:t>
      </w:r>
      <w:r w:rsidRPr="0041490D">
        <w:rPr>
          <w:i/>
        </w:rPr>
        <w:t xml:space="preserve">Autoportrait </w:t>
      </w:r>
      <w:r w:rsidRPr="0041490D">
        <w:t>est un texte qui a été écrit « dans la joie », expression énigmatique qui pourtant</w:t>
      </w:r>
      <w:r>
        <w:t xml:space="preserve"> en dit</w:t>
      </w:r>
      <w:r w:rsidRPr="0041490D">
        <w:t xml:space="preserve"> beaucoup.</w:t>
      </w:r>
      <w:r w:rsidRPr="00C91821">
        <w:rPr>
          <w:rStyle w:val="FootnoteReference"/>
          <w:rFonts w:cs="Times New Roman"/>
          <w:sz w:val="22"/>
          <w:szCs w:val="22"/>
          <w:vertAlign w:val="superscript"/>
        </w:rPr>
        <w:footnoteReference w:id="68"/>
      </w:r>
    </w:p>
    <w:p w14:paraId="04764580" w14:textId="77777777" w:rsidR="0015740E" w:rsidRPr="00DC3BB1" w:rsidRDefault="0015740E" w:rsidP="00BA5E94">
      <w:pPr>
        <w:pStyle w:val="PAUVK"/>
        <w:rPr>
          <w:lang w:val="fr-BE"/>
        </w:rPr>
      </w:pPr>
      <w:r w:rsidRPr="0041490D">
        <w:lastRenderedPageBreak/>
        <w:t>Quelque chose commence à bouger</w:t>
      </w:r>
      <w:r>
        <w:t>, donc,</w:t>
      </w:r>
      <w:r w:rsidRPr="0041490D">
        <w:t xml:space="preserve"> chez NDiaye. La mère morte n’est plus ce qu’elle était. </w:t>
      </w:r>
      <w:r>
        <w:t>L</w:t>
      </w:r>
      <w:r w:rsidRPr="00C701A3">
        <w:t xml:space="preserve">a dépression maternelle, jamais avouée dans les autres textes, seulement entrevue à travers les sourires polis de ces femmes absentes, trouvera son honnête expression musicale dans la chanson de la mère de Nadia, chanson inattendue, qui clora le roman. </w:t>
      </w:r>
      <w:r>
        <w:t xml:space="preserve">Cette positive représentation </w:t>
      </w:r>
      <w:proofErr w:type="spellStart"/>
      <w:r>
        <w:t>ndiayïenne</w:t>
      </w:r>
      <w:proofErr w:type="spellEnd"/>
      <w:r>
        <w:t xml:space="preserve"> en pleine évolution assume la forme des fantastiques voix parentales, finalement domptées dans la poitrine du fils adoptif, dans </w:t>
      </w:r>
      <w:r w:rsidRPr="00DC3BB1">
        <w:rPr>
          <w:lang w:val="fr-BE"/>
        </w:rPr>
        <w:t xml:space="preserve">la pièce </w:t>
      </w:r>
      <w:r w:rsidRPr="00DC3BB1">
        <w:rPr>
          <w:i/>
          <w:lang w:val="fr-BE"/>
        </w:rPr>
        <w:t>Les Grandes Personnes</w:t>
      </w:r>
      <w:r w:rsidRPr="00DC3BB1">
        <w:rPr>
          <w:lang w:val="fr-BE"/>
        </w:rPr>
        <w:t xml:space="preserve">, aussi bien que des incontrôlables évacuations d’urine chez Norah dans </w:t>
      </w:r>
      <w:r w:rsidRPr="00DC3BB1">
        <w:rPr>
          <w:i/>
          <w:lang w:val="fr-BE"/>
        </w:rPr>
        <w:t>Trois femmes puissantes</w:t>
      </w:r>
      <w:r w:rsidRPr="00DC3BB1">
        <w:rPr>
          <w:lang w:val="fr-BE"/>
        </w:rPr>
        <w:t xml:space="preserve">, de gênantes inondations provoquées par le père, le signe irréfutable des dégâts qu’il a faits à ses enfants. Les mères mortes (ainsi que les pères morts) se ruent, crient, ruissellent dans ces nouveaux textes de NDiaye, à mesure que leur non-énergie fantomatique fait sa descente dans les rues, dans les ventres et dans les vessies d’enfants de plus en plus </w:t>
      </w:r>
      <w:r>
        <w:t>« </w:t>
      </w:r>
      <w:r w:rsidRPr="00DC3BB1">
        <w:rPr>
          <w:lang w:val="fr-BE"/>
        </w:rPr>
        <w:t>vivants</w:t>
      </w:r>
      <w:r>
        <w:t> ». Car ils voient bien, ces enfants, que cette non-énergie parentale qui les a si longtemps habités, est moins mortifère plus elle se révèle, même si elle effraye, même si elle pue.</w:t>
      </w:r>
      <w:r w:rsidRPr="00DC3BB1">
        <w:rPr>
          <w:lang w:val="fr-BE"/>
        </w:rPr>
        <w:t xml:space="preserve"> Plus audacieusement les textes de NDiaye ose</w:t>
      </w:r>
      <w:r>
        <w:rPr>
          <w:lang w:val="fr-BE"/>
        </w:rPr>
        <w:t>nt</w:t>
      </w:r>
      <w:r w:rsidRPr="00DC3BB1">
        <w:rPr>
          <w:lang w:val="fr-BE"/>
        </w:rPr>
        <w:t xml:space="preserve"> frôler la représentation de l’horreur blanche (autrefois intériorisée, maintenant vomie), plus grande devient </w:t>
      </w:r>
      <w:r>
        <w:rPr>
          <w:lang w:val="fr-BE"/>
        </w:rPr>
        <w:t>leur capacité à gén</w:t>
      </w:r>
      <w:r w:rsidR="00617604">
        <w:rPr>
          <w:lang w:val="fr-BE"/>
        </w:rPr>
        <w:t>érer le mouvement, la couleur,</w:t>
      </w:r>
      <w:r>
        <w:rPr>
          <w:lang w:val="fr-BE"/>
        </w:rPr>
        <w:t xml:space="preserve"> la</w:t>
      </w:r>
      <w:r w:rsidRPr="00DC3BB1">
        <w:rPr>
          <w:lang w:val="fr-BE"/>
        </w:rPr>
        <w:t xml:space="preserve"> vie.</w:t>
      </w:r>
    </w:p>
    <w:p w14:paraId="48550363" w14:textId="77777777" w:rsidR="0015740E" w:rsidRPr="00DC3BB1" w:rsidRDefault="0015740E" w:rsidP="0015740E">
      <w:pPr>
        <w:spacing w:line="480" w:lineRule="auto"/>
        <w:rPr>
          <w:rFonts w:ascii="Arial" w:hAnsi="Arial" w:cs="Arial"/>
          <w:b/>
          <w:lang w:val="fr-BE"/>
        </w:rPr>
      </w:pPr>
    </w:p>
    <w:p w14:paraId="006FB62D" w14:textId="77777777" w:rsidR="0015740E" w:rsidRPr="0015740E" w:rsidRDefault="0015740E" w:rsidP="00BA5E94">
      <w:pPr>
        <w:pStyle w:val="PAUVK"/>
      </w:pPr>
    </w:p>
    <w:p w14:paraId="58AC7B38" w14:textId="77777777" w:rsidR="00F82CF2" w:rsidRPr="008C4401" w:rsidRDefault="00F82CF2" w:rsidP="0020497B">
      <w:pPr>
        <w:pStyle w:val="PNUVK"/>
      </w:pPr>
    </w:p>
    <w:p w14:paraId="6BFFE6E3" w14:textId="77777777" w:rsidR="0020497B" w:rsidRDefault="0020497B" w:rsidP="000E7E36">
      <w:pPr>
        <w:rPr>
          <w:lang w:val="fr-FR"/>
        </w:rPr>
      </w:pPr>
    </w:p>
    <w:p w14:paraId="53498C13" w14:textId="77777777" w:rsidR="00984DE3" w:rsidRDefault="00984DE3" w:rsidP="000E7E36">
      <w:pPr>
        <w:rPr>
          <w:lang w:val="fr-FR"/>
        </w:rPr>
      </w:pPr>
    </w:p>
    <w:p w14:paraId="478F8740" w14:textId="77777777" w:rsidR="00984DE3" w:rsidRDefault="00984DE3" w:rsidP="000E7E36">
      <w:pPr>
        <w:rPr>
          <w:lang w:val="fr-FR"/>
        </w:rPr>
      </w:pPr>
    </w:p>
    <w:p w14:paraId="68446DA0" w14:textId="77777777" w:rsidR="00984DE3" w:rsidRDefault="00984DE3" w:rsidP="000E7E36">
      <w:pPr>
        <w:rPr>
          <w:lang w:val="fr-FR"/>
        </w:rPr>
      </w:pPr>
    </w:p>
    <w:p w14:paraId="242E88FD" w14:textId="77777777" w:rsidR="00984DE3" w:rsidRDefault="00984DE3" w:rsidP="000E7E36">
      <w:pPr>
        <w:rPr>
          <w:lang w:val="fr-FR"/>
        </w:rPr>
      </w:pPr>
    </w:p>
    <w:p w14:paraId="284A2109" w14:textId="77777777" w:rsidR="00984DE3" w:rsidRDefault="00984DE3" w:rsidP="000E7E36">
      <w:pPr>
        <w:rPr>
          <w:lang w:val="fr-FR"/>
        </w:rPr>
      </w:pPr>
    </w:p>
    <w:p w14:paraId="3EE228EA" w14:textId="77777777" w:rsidR="00984DE3" w:rsidRDefault="00984DE3" w:rsidP="000E7E36">
      <w:pPr>
        <w:rPr>
          <w:lang w:val="fr-FR"/>
        </w:rPr>
      </w:pPr>
    </w:p>
    <w:p w14:paraId="05488043" w14:textId="77777777" w:rsidR="00984DE3" w:rsidRDefault="00984DE3" w:rsidP="000E7E36">
      <w:pPr>
        <w:rPr>
          <w:lang w:val="fr-FR"/>
        </w:rPr>
      </w:pPr>
    </w:p>
    <w:p w14:paraId="496D495B" w14:textId="77777777" w:rsidR="00984DE3" w:rsidRDefault="00984DE3" w:rsidP="000E7E36">
      <w:pPr>
        <w:rPr>
          <w:lang w:val="fr-FR"/>
        </w:rPr>
      </w:pPr>
    </w:p>
    <w:p w14:paraId="00A3F8B0" w14:textId="77777777" w:rsidR="00984DE3" w:rsidRDefault="00984DE3" w:rsidP="000E7E36">
      <w:pPr>
        <w:rPr>
          <w:lang w:val="fr-FR"/>
        </w:rPr>
      </w:pPr>
    </w:p>
    <w:p w14:paraId="2D881623" w14:textId="77777777" w:rsidR="00DE4A0E" w:rsidRDefault="00DE4A0E" w:rsidP="00DE4A0E">
      <w:pPr>
        <w:pStyle w:val="UT2UVK"/>
        <w:keepNext w:val="0"/>
        <w:widowControl w:val="0"/>
        <w:spacing w:before="0" w:after="0" w:line="240" w:lineRule="auto"/>
        <w:rPr>
          <w:rFonts w:eastAsiaTheme="minorHAnsi"/>
          <w:b w:val="0"/>
          <w:kern w:val="0"/>
          <w:sz w:val="22"/>
          <w:szCs w:val="22"/>
          <w:lang w:val="fr-FR" w:eastAsia="en-US"/>
        </w:rPr>
      </w:pPr>
    </w:p>
    <w:p w14:paraId="58C5F7E8" w14:textId="77777777" w:rsidR="00DE4A0E" w:rsidRDefault="00DE4A0E" w:rsidP="00DE4A0E">
      <w:pPr>
        <w:pStyle w:val="UT2UVK"/>
        <w:keepNext w:val="0"/>
        <w:widowControl w:val="0"/>
        <w:spacing w:before="0" w:after="0" w:line="240" w:lineRule="auto"/>
        <w:rPr>
          <w:rFonts w:eastAsiaTheme="minorHAnsi"/>
          <w:b w:val="0"/>
          <w:kern w:val="0"/>
          <w:sz w:val="22"/>
          <w:szCs w:val="22"/>
          <w:lang w:val="fr-FR" w:eastAsia="en-US"/>
        </w:rPr>
      </w:pPr>
    </w:p>
    <w:p w14:paraId="3DC477A7" w14:textId="77777777" w:rsidR="00984DE3" w:rsidRPr="004E4182" w:rsidRDefault="00984DE3" w:rsidP="00DE4A0E">
      <w:pPr>
        <w:pStyle w:val="UT2UVK"/>
        <w:keepNext w:val="0"/>
        <w:pageBreakBefore/>
        <w:widowControl w:val="0"/>
        <w:spacing w:before="0" w:after="0" w:line="240" w:lineRule="auto"/>
        <w:rPr>
          <w:sz w:val="22"/>
          <w:szCs w:val="22"/>
          <w:lang w:val="fr-FR"/>
        </w:rPr>
      </w:pPr>
      <w:r w:rsidRPr="004E4182">
        <w:rPr>
          <w:sz w:val="22"/>
          <w:szCs w:val="22"/>
          <w:lang w:val="fr-FR"/>
        </w:rPr>
        <w:lastRenderedPageBreak/>
        <w:t>Bibliographie</w:t>
      </w:r>
    </w:p>
    <w:p w14:paraId="352F2746" w14:textId="77777777" w:rsidR="00984DE3" w:rsidRPr="004E4182" w:rsidRDefault="00984DE3" w:rsidP="00984DE3">
      <w:pPr>
        <w:pStyle w:val="UT2UVK"/>
        <w:keepNext w:val="0"/>
        <w:widowControl w:val="0"/>
        <w:spacing w:before="0" w:after="0" w:line="240" w:lineRule="auto"/>
        <w:rPr>
          <w:sz w:val="22"/>
          <w:szCs w:val="22"/>
          <w:lang w:val="fr-FR"/>
        </w:rPr>
      </w:pPr>
    </w:p>
    <w:p w14:paraId="6D026798" w14:textId="77777777" w:rsidR="00984DE3" w:rsidRPr="00984DE3" w:rsidRDefault="00984DE3" w:rsidP="008D4598">
      <w:pPr>
        <w:pStyle w:val="Literaturverzeichnis1"/>
        <w:rPr>
          <w:lang w:val="fr-FR"/>
        </w:rPr>
      </w:pPr>
      <w:r w:rsidRPr="00984DE3">
        <w:rPr>
          <w:lang w:val="fr-FR"/>
        </w:rPr>
        <w:t>Asibong,</w:t>
      </w:r>
      <w:r w:rsidR="0066461F">
        <w:rPr>
          <w:lang w:val="fr-FR"/>
        </w:rPr>
        <w:t xml:space="preserve"> Andrew. </w:t>
      </w:r>
      <w:proofErr w:type="gramStart"/>
      <w:r w:rsidR="0066461F">
        <w:rPr>
          <w:lang w:val="fr-FR"/>
        </w:rPr>
        <w:t>«Marie</w:t>
      </w:r>
      <w:proofErr w:type="gramEnd"/>
      <w:r w:rsidR="0066461F">
        <w:rPr>
          <w:lang w:val="fr-FR"/>
        </w:rPr>
        <w:t xml:space="preserve"> NDiaye, the </w:t>
      </w:r>
      <w:proofErr w:type="spellStart"/>
      <w:r w:rsidR="0066461F">
        <w:rPr>
          <w:lang w:val="fr-FR"/>
        </w:rPr>
        <w:t>Hybrid</w:t>
      </w:r>
      <w:proofErr w:type="spellEnd"/>
      <w:r w:rsidR="0066461F">
        <w:rPr>
          <w:lang w:val="fr-FR"/>
        </w:rPr>
        <w:t xml:space="preserve"> Child and the White ‘Dead’ Mother </w:t>
      </w:r>
      <w:r w:rsidRPr="00984DE3">
        <w:rPr>
          <w:lang w:val="fr-FR"/>
        </w:rPr>
        <w:t>»</w:t>
      </w:r>
      <w:r>
        <w:rPr>
          <w:lang w:val="fr-FR"/>
        </w:rPr>
        <w:t>, dans</w:t>
      </w:r>
      <w:r w:rsidR="0066461F">
        <w:rPr>
          <w:lang w:val="fr-FR"/>
        </w:rPr>
        <w:t xml:space="preserve"> </w:t>
      </w:r>
      <w:proofErr w:type="spellStart"/>
      <w:r w:rsidR="0066461F">
        <w:rPr>
          <w:lang w:val="fr-FR"/>
        </w:rPr>
        <w:t>Hiddleston</w:t>
      </w:r>
      <w:proofErr w:type="spellEnd"/>
      <w:r w:rsidR="0066461F">
        <w:rPr>
          <w:lang w:val="fr-FR"/>
        </w:rPr>
        <w:t>, Jane</w:t>
      </w:r>
      <w:r>
        <w:rPr>
          <w:lang w:val="fr-FR"/>
        </w:rPr>
        <w:t xml:space="preserve"> </w:t>
      </w:r>
      <w:r w:rsidRPr="00984DE3">
        <w:rPr>
          <w:lang w:val="fr-FR"/>
        </w:rPr>
        <w:t>(é</w:t>
      </w:r>
      <w:r w:rsidR="0066461F">
        <w:rPr>
          <w:lang w:val="fr-FR"/>
        </w:rPr>
        <w:t>d</w:t>
      </w:r>
      <w:r w:rsidR="00BA4BA9">
        <w:rPr>
          <w:lang w:val="fr-FR"/>
        </w:rPr>
        <w:t>.).</w:t>
      </w:r>
      <w:r w:rsidRPr="00984DE3">
        <w:rPr>
          <w:lang w:val="fr-FR"/>
        </w:rPr>
        <w:t xml:space="preserve"> </w:t>
      </w:r>
      <w:r w:rsidR="0066461F">
        <w:rPr>
          <w:i/>
          <w:lang w:val="fr-FR"/>
        </w:rPr>
        <w:t>The Postcolonial Human</w:t>
      </w:r>
      <w:r w:rsidRPr="00984DE3">
        <w:rPr>
          <w:i/>
          <w:lang w:val="fr-FR"/>
        </w:rPr>
        <w:t xml:space="preserve"> </w:t>
      </w:r>
      <w:r w:rsidRPr="00984DE3">
        <w:rPr>
          <w:lang w:val="fr-FR"/>
        </w:rPr>
        <w:t xml:space="preserve">(numéro spécial de </w:t>
      </w:r>
      <w:r w:rsidR="0066461F">
        <w:rPr>
          <w:i/>
          <w:lang w:val="fr-FR"/>
        </w:rPr>
        <w:t xml:space="preserve">International Journal of Francophone </w:t>
      </w:r>
      <w:proofErr w:type="spellStart"/>
      <w:r w:rsidR="0066461F">
        <w:rPr>
          <w:i/>
          <w:lang w:val="fr-FR"/>
        </w:rPr>
        <w:t>Studies</w:t>
      </w:r>
      <w:proofErr w:type="spellEnd"/>
      <w:proofErr w:type="gramStart"/>
      <w:r w:rsidRPr="00984DE3">
        <w:rPr>
          <w:lang w:val="fr-FR"/>
        </w:rPr>
        <w:t>)</w:t>
      </w:r>
      <w:r>
        <w:rPr>
          <w:lang w:val="fr-FR"/>
        </w:rPr>
        <w:t xml:space="preserve">, </w:t>
      </w:r>
      <w:r w:rsidR="0066461F">
        <w:rPr>
          <w:lang w:val="fr-FR"/>
        </w:rPr>
        <w:t xml:space="preserve"> à</w:t>
      </w:r>
      <w:proofErr w:type="gramEnd"/>
      <w:r w:rsidR="0066461F">
        <w:rPr>
          <w:lang w:val="fr-FR"/>
        </w:rPr>
        <w:t xml:space="preserve"> paraître </w:t>
      </w:r>
      <w:r w:rsidRPr="00984DE3">
        <w:rPr>
          <w:lang w:val="fr-FR"/>
        </w:rPr>
        <w:t>2013</w:t>
      </w:r>
      <w:r>
        <w:rPr>
          <w:lang w:val="fr-FR"/>
        </w:rPr>
        <w:t xml:space="preserve">. </w:t>
      </w:r>
    </w:p>
    <w:p w14:paraId="104D10C8" w14:textId="77777777" w:rsidR="008D4598" w:rsidRPr="004E4182" w:rsidRDefault="00984DE3" w:rsidP="008D4598">
      <w:pPr>
        <w:pStyle w:val="Literaturverzeichnis1"/>
        <w:rPr>
          <w:lang w:val="en-US"/>
        </w:rPr>
      </w:pPr>
      <w:proofErr w:type="spellStart"/>
      <w:r w:rsidRPr="00984DE3">
        <w:rPr>
          <w:lang w:val="fr-FR"/>
        </w:rPr>
        <w:t>Donnet</w:t>
      </w:r>
      <w:proofErr w:type="spellEnd"/>
      <w:r w:rsidRPr="00984DE3">
        <w:rPr>
          <w:lang w:val="fr-FR"/>
        </w:rPr>
        <w:t>, Jean-Luc</w:t>
      </w:r>
      <w:r w:rsidR="008D4598">
        <w:rPr>
          <w:lang w:val="fr-FR"/>
        </w:rPr>
        <w:t xml:space="preserve">, </w:t>
      </w:r>
      <w:r w:rsidRPr="00984DE3">
        <w:rPr>
          <w:lang w:val="fr-FR"/>
        </w:rPr>
        <w:t>Green, André</w:t>
      </w:r>
      <w:r w:rsidR="008D4598">
        <w:rPr>
          <w:lang w:val="fr-FR"/>
        </w:rPr>
        <w:t>.</w:t>
      </w:r>
      <w:r w:rsidRPr="00984DE3">
        <w:rPr>
          <w:lang w:val="fr-FR"/>
        </w:rPr>
        <w:t xml:space="preserve"> </w:t>
      </w:r>
      <w:r w:rsidR="008D4598" w:rsidRPr="008D4598">
        <w:rPr>
          <w:i/>
          <w:lang w:val="fr-FR"/>
        </w:rPr>
        <w:t>L’Enfant de ça : pour introduire une psychose blanche</w:t>
      </w:r>
      <w:r w:rsidR="008D4598">
        <w:rPr>
          <w:i/>
          <w:lang w:val="fr-FR"/>
        </w:rPr>
        <w:t xml:space="preserve">. </w:t>
      </w:r>
      <w:proofErr w:type="gramStart"/>
      <w:r w:rsidR="008D4598" w:rsidRPr="004E4182">
        <w:rPr>
          <w:lang w:val="en-US"/>
        </w:rPr>
        <w:t>Paris :</w:t>
      </w:r>
      <w:proofErr w:type="gramEnd"/>
      <w:r w:rsidR="008D4598" w:rsidRPr="004E4182">
        <w:rPr>
          <w:lang w:val="en-US"/>
        </w:rPr>
        <w:t xml:space="preserve"> Éditions de Minuit, 1973.</w:t>
      </w:r>
    </w:p>
    <w:p w14:paraId="778984F8" w14:textId="77777777" w:rsidR="008D4598" w:rsidRPr="008D4598" w:rsidRDefault="00984DE3" w:rsidP="008D4598">
      <w:pPr>
        <w:pStyle w:val="Literaturverzeichnis1"/>
        <w:rPr>
          <w:lang w:val="en-US"/>
        </w:rPr>
      </w:pPr>
      <w:r w:rsidRPr="004E4182">
        <w:rPr>
          <w:lang w:val="en-US"/>
        </w:rPr>
        <w:t>Fairb</w:t>
      </w:r>
      <w:r w:rsidRPr="008D4598">
        <w:rPr>
          <w:lang w:val="en-US"/>
        </w:rPr>
        <w:t>airn, W.R.D.</w:t>
      </w:r>
      <w:r w:rsidR="008D4598" w:rsidRPr="008D4598">
        <w:rPr>
          <w:lang w:val="en-US"/>
        </w:rPr>
        <w:t xml:space="preserve"> </w:t>
      </w:r>
      <w:r w:rsidR="008D4598" w:rsidRPr="008D4598">
        <w:rPr>
          <w:i/>
          <w:lang w:val="en-US"/>
        </w:rPr>
        <w:t xml:space="preserve">An Object-Relations Theory of the Personality. </w:t>
      </w:r>
      <w:r w:rsidR="008D4598" w:rsidRPr="008D4598">
        <w:rPr>
          <w:lang w:val="en-US"/>
        </w:rPr>
        <w:t xml:space="preserve"> </w:t>
      </w:r>
      <w:proofErr w:type="gramStart"/>
      <w:r w:rsidR="008D4598" w:rsidRPr="008D4598">
        <w:rPr>
          <w:lang w:val="en-US"/>
        </w:rPr>
        <w:t>London :</w:t>
      </w:r>
      <w:proofErr w:type="gramEnd"/>
      <w:r w:rsidR="008D4598" w:rsidRPr="008D4598">
        <w:rPr>
          <w:lang w:val="en-US"/>
        </w:rPr>
        <w:t xml:space="preserve"> Routledge, </w:t>
      </w:r>
      <w:r w:rsidRPr="008D4598">
        <w:rPr>
          <w:lang w:val="en-US"/>
        </w:rPr>
        <w:t>1981</w:t>
      </w:r>
      <w:r w:rsidR="008D4598" w:rsidRPr="008D4598">
        <w:rPr>
          <w:lang w:val="en-US"/>
        </w:rPr>
        <w:t>.</w:t>
      </w:r>
    </w:p>
    <w:p w14:paraId="71BF26C3" w14:textId="77777777" w:rsidR="008D4598" w:rsidRDefault="00984DE3" w:rsidP="008D4598">
      <w:pPr>
        <w:pStyle w:val="Literaturverzeichnis1"/>
        <w:rPr>
          <w:lang w:val="fr-FR"/>
        </w:rPr>
      </w:pPr>
      <w:r w:rsidRPr="008D4598">
        <w:rPr>
          <w:lang w:val="fr-FR"/>
        </w:rPr>
        <w:t xml:space="preserve">Goffman, </w:t>
      </w:r>
      <w:proofErr w:type="spellStart"/>
      <w:r w:rsidRPr="008D4598">
        <w:rPr>
          <w:lang w:val="fr-FR"/>
        </w:rPr>
        <w:t>Erving</w:t>
      </w:r>
      <w:proofErr w:type="spellEnd"/>
      <w:r w:rsidR="008D4598" w:rsidRPr="008D4598">
        <w:rPr>
          <w:lang w:val="fr-FR"/>
        </w:rPr>
        <w:t>.</w:t>
      </w:r>
      <w:r w:rsidR="008D4598">
        <w:rPr>
          <w:lang w:val="fr-FR"/>
        </w:rPr>
        <w:t xml:space="preserve"> </w:t>
      </w:r>
      <w:r w:rsidRPr="008D4598">
        <w:rPr>
          <w:lang w:val="fr-FR"/>
        </w:rPr>
        <w:t xml:space="preserve"> </w:t>
      </w:r>
      <w:r w:rsidR="00DE4A0E">
        <w:rPr>
          <w:i/>
          <w:lang w:val="fr-FR"/>
        </w:rPr>
        <w:t>Stigmate : Les U</w:t>
      </w:r>
      <w:r w:rsidR="008D4598" w:rsidRPr="008D4598">
        <w:rPr>
          <w:i/>
          <w:lang w:val="fr-FR"/>
        </w:rPr>
        <w:t>sages sociaux des handicaps</w:t>
      </w:r>
      <w:r w:rsidR="008D4598">
        <w:rPr>
          <w:i/>
          <w:lang w:val="fr-FR"/>
        </w:rPr>
        <w:t xml:space="preserve">. </w:t>
      </w:r>
      <w:r w:rsidRPr="00984DE3">
        <w:rPr>
          <w:lang w:val="fr-FR"/>
        </w:rPr>
        <w:t xml:space="preserve">Paris : </w:t>
      </w:r>
      <w:r w:rsidR="008D4598">
        <w:rPr>
          <w:lang w:val="fr-FR"/>
        </w:rPr>
        <w:t xml:space="preserve">Éditions de </w:t>
      </w:r>
      <w:r w:rsidRPr="00984DE3">
        <w:rPr>
          <w:lang w:val="fr-FR"/>
        </w:rPr>
        <w:t>Minuit</w:t>
      </w:r>
      <w:r w:rsidR="008D4598">
        <w:rPr>
          <w:lang w:val="fr-FR"/>
        </w:rPr>
        <w:t xml:space="preserve">, 1975. </w:t>
      </w:r>
    </w:p>
    <w:p w14:paraId="4D3EECAB" w14:textId="77777777" w:rsidR="00984DE3" w:rsidRPr="00984DE3" w:rsidRDefault="00984DE3" w:rsidP="008D4598">
      <w:pPr>
        <w:pStyle w:val="Literaturverzeichnis1"/>
        <w:rPr>
          <w:lang w:val="fr-FR"/>
        </w:rPr>
      </w:pPr>
      <w:r w:rsidRPr="00984DE3">
        <w:rPr>
          <w:lang w:val="fr-FR"/>
        </w:rPr>
        <w:t>Green, André</w:t>
      </w:r>
      <w:r w:rsidR="008D4598">
        <w:rPr>
          <w:lang w:val="fr-FR"/>
        </w:rPr>
        <w:t xml:space="preserve">. </w:t>
      </w:r>
      <w:r w:rsidR="00DE4A0E">
        <w:rPr>
          <w:lang w:val="fr-FR"/>
        </w:rPr>
        <w:t>« La M</w:t>
      </w:r>
      <w:r w:rsidR="008D4598" w:rsidRPr="00984DE3">
        <w:rPr>
          <w:lang w:val="fr-FR"/>
        </w:rPr>
        <w:t>ère morte »</w:t>
      </w:r>
      <w:r w:rsidR="008D4598">
        <w:rPr>
          <w:lang w:val="fr-FR"/>
        </w:rPr>
        <w:t>, dans</w:t>
      </w:r>
      <w:r w:rsidRPr="00984DE3">
        <w:rPr>
          <w:lang w:val="fr-FR"/>
        </w:rPr>
        <w:t xml:space="preserve"> </w:t>
      </w:r>
      <w:r w:rsidRPr="008D4598">
        <w:rPr>
          <w:i/>
          <w:lang w:val="fr-FR"/>
        </w:rPr>
        <w:t>Narcissisme de vie, narcissisme de mort</w:t>
      </w:r>
      <w:r w:rsidRPr="00984DE3">
        <w:rPr>
          <w:lang w:val="fr-FR"/>
        </w:rPr>
        <w:t>.</w:t>
      </w:r>
      <w:r w:rsidR="008D4598">
        <w:rPr>
          <w:lang w:val="fr-FR"/>
        </w:rPr>
        <w:t xml:space="preserve"> </w:t>
      </w:r>
      <w:r w:rsidRPr="00984DE3">
        <w:rPr>
          <w:lang w:val="fr-FR"/>
        </w:rPr>
        <w:t>Paris</w:t>
      </w:r>
      <w:r w:rsidR="008D4598">
        <w:rPr>
          <w:lang w:val="fr-FR"/>
        </w:rPr>
        <w:t xml:space="preserve"> </w:t>
      </w:r>
      <w:r w:rsidRPr="00984DE3">
        <w:rPr>
          <w:lang w:val="fr-FR"/>
        </w:rPr>
        <w:t>: Minuit</w:t>
      </w:r>
      <w:r w:rsidR="008D4598">
        <w:rPr>
          <w:lang w:val="fr-FR"/>
        </w:rPr>
        <w:t xml:space="preserve">, 1983. </w:t>
      </w:r>
    </w:p>
    <w:p w14:paraId="020A3045" w14:textId="77777777" w:rsidR="00984DE3" w:rsidRPr="004E4182" w:rsidRDefault="00984DE3" w:rsidP="008D4598">
      <w:pPr>
        <w:pStyle w:val="Literaturverzeichnis1"/>
        <w:rPr>
          <w:lang w:val="en-US"/>
        </w:rPr>
      </w:pPr>
      <w:r w:rsidRPr="00984DE3">
        <w:rPr>
          <w:lang w:val="fr-FR"/>
        </w:rPr>
        <w:t>—</w:t>
      </w:r>
      <w:r w:rsidR="00404331" w:rsidRPr="00984DE3">
        <w:rPr>
          <w:lang w:val="fr-FR"/>
        </w:rPr>
        <w:t>—</w:t>
      </w:r>
      <w:r w:rsidR="00404331">
        <w:rPr>
          <w:lang w:val="fr-FR"/>
        </w:rPr>
        <w:t xml:space="preserve">. </w:t>
      </w:r>
      <w:r w:rsidR="00404331" w:rsidRPr="00404331">
        <w:rPr>
          <w:i/>
          <w:lang w:val="fr-FR"/>
        </w:rPr>
        <w:t>Le</w:t>
      </w:r>
      <w:r w:rsidR="00DE4A0E">
        <w:rPr>
          <w:i/>
          <w:lang w:val="fr-FR"/>
        </w:rPr>
        <w:t xml:space="preserve"> Discours vivant : la C</w:t>
      </w:r>
      <w:r w:rsidR="00404331" w:rsidRPr="00404331">
        <w:rPr>
          <w:i/>
          <w:lang w:val="fr-FR"/>
        </w:rPr>
        <w:t>onception psychanalytique de l’affect</w:t>
      </w:r>
      <w:r w:rsidR="00404331">
        <w:rPr>
          <w:lang w:val="fr-FR"/>
        </w:rPr>
        <w:t xml:space="preserve">. </w:t>
      </w:r>
      <w:proofErr w:type="gramStart"/>
      <w:r w:rsidR="00404331" w:rsidRPr="004E4182">
        <w:rPr>
          <w:lang w:val="en-US"/>
        </w:rPr>
        <w:t>Paris :</w:t>
      </w:r>
      <w:proofErr w:type="gramEnd"/>
      <w:r w:rsidR="00404331" w:rsidRPr="004E4182">
        <w:rPr>
          <w:lang w:val="en-US"/>
        </w:rPr>
        <w:t xml:space="preserve"> PUF, 2004.</w:t>
      </w:r>
    </w:p>
    <w:p w14:paraId="5BEA79DE" w14:textId="77777777" w:rsidR="00404331" w:rsidRDefault="00984DE3" w:rsidP="008D4598">
      <w:pPr>
        <w:pStyle w:val="Literaturverzeichnis1"/>
        <w:rPr>
          <w:lang w:val="en-US"/>
        </w:rPr>
      </w:pPr>
      <w:r w:rsidRPr="00404331">
        <w:rPr>
          <w:lang w:val="en-US"/>
        </w:rPr>
        <w:t>Klein, Melanie</w:t>
      </w:r>
      <w:r w:rsidR="00404331">
        <w:rPr>
          <w:lang w:val="en-US"/>
        </w:rPr>
        <w:t xml:space="preserve">. </w:t>
      </w:r>
      <w:r w:rsidR="00DE4A0E">
        <w:rPr>
          <w:i/>
          <w:lang w:val="en-US"/>
        </w:rPr>
        <w:t>Envy and Gratitude and Other W</w:t>
      </w:r>
      <w:r w:rsidR="00404331" w:rsidRPr="00404331">
        <w:rPr>
          <w:i/>
          <w:lang w:val="en-US"/>
        </w:rPr>
        <w:t>orks 1946-1963</w:t>
      </w:r>
      <w:r w:rsidR="00404331">
        <w:rPr>
          <w:i/>
          <w:lang w:val="en-US"/>
        </w:rPr>
        <w:t>.</w:t>
      </w:r>
      <w:r w:rsidR="00404331">
        <w:rPr>
          <w:lang w:val="en-US"/>
        </w:rPr>
        <w:t xml:space="preserve"> </w:t>
      </w:r>
      <w:proofErr w:type="gramStart"/>
      <w:r w:rsidRPr="00404331">
        <w:rPr>
          <w:lang w:val="en-US"/>
        </w:rPr>
        <w:t>London :</w:t>
      </w:r>
      <w:proofErr w:type="gramEnd"/>
      <w:r w:rsidRPr="00404331">
        <w:rPr>
          <w:lang w:val="en-US"/>
        </w:rPr>
        <w:t xml:space="preserve"> Hogarth Press</w:t>
      </w:r>
      <w:r w:rsidR="00404331">
        <w:rPr>
          <w:lang w:val="en-US"/>
        </w:rPr>
        <w:t xml:space="preserve">, 1975. </w:t>
      </w:r>
    </w:p>
    <w:p w14:paraId="4D521955" w14:textId="77777777" w:rsidR="00984DE3" w:rsidRPr="00984DE3" w:rsidRDefault="00984DE3" w:rsidP="008D4598">
      <w:pPr>
        <w:pStyle w:val="Literaturverzeichnis1"/>
        <w:rPr>
          <w:lang w:val="en-US"/>
        </w:rPr>
      </w:pPr>
      <w:r w:rsidRPr="00404331">
        <w:rPr>
          <w:lang w:val="en-US"/>
        </w:rPr>
        <w:t>Kohon, Gregori</w:t>
      </w:r>
      <w:r w:rsidRPr="00984DE3">
        <w:rPr>
          <w:lang w:val="en-US"/>
        </w:rPr>
        <w:t>o</w:t>
      </w:r>
      <w:r w:rsidR="00404331">
        <w:rPr>
          <w:lang w:val="en-US"/>
        </w:rPr>
        <w:t xml:space="preserve"> (</w:t>
      </w:r>
      <w:proofErr w:type="spellStart"/>
      <w:r w:rsidR="00404331">
        <w:rPr>
          <w:lang w:val="en-US"/>
        </w:rPr>
        <w:t>éd</w:t>
      </w:r>
      <w:proofErr w:type="spellEnd"/>
      <w:r w:rsidR="00404331">
        <w:rPr>
          <w:lang w:val="en-US"/>
        </w:rPr>
        <w:t xml:space="preserve">.). </w:t>
      </w:r>
      <w:r w:rsidRPr="00984DE3">
        <w:rPr>
          <w:lang w:val="en-US"/>
        </w:rPr>
        <w:t xml:space="preserve"> </w:t>
      </w:r>
      <w:r w:rsidR="00404331" w:rsidRPr="00404331">
        <w:rPr>
          <w:i/>
          <w:lang w:val="en-US"/>
        </w:rPr>
        <w:t xml:space="preserve">The Dead </w:t>
      </w:r>
      <w:proofErr w:type="gramStart"/>
      <w:r w:rsidR="00404331" w:rsidRPr="00404331">
        <w:rPr>
          <w:i/>
          <w:lang w:val="en-US"/>
        </w:rPr>
        <w:t>Mother :</w:t>
      </w:r>
      <w:proofErr w:type="gramEnd"/>
      <w:r w:rsidR="00404331" w:rsidRPr="00404331">
        <w:rPr>
          <w:i/>
          <w:lang w:val="en-US"/>
        </w:rPr>
        <w:t xml:space="preserve"> The Work of André Green</w:t>
      </w:r>
      <w:r w:rsidR="00404331">
        <w:rPr>
          <w:lang w:val="en-US"/>
        </w:rPr>
        <w:t xml:space="preserve">. </w:t>
      </w:r>
      <w:proofErr w:type="gramStart"/>
      <w:r w:rsidR="00404331">
        <w:rPr>
          <w:lang w:val="en-US"/>
        </w:rPr>
        <w:t>London :</w:t>
      </w:r>
      <w:proofErr w:type="gramEnd"/>
      <w:r w:rsidR="00404331">
        <w:rPr>
          <w:lang w:val="en-US"/>
        </w:rPr>
        <w:t xml:space="preserve"> Routledge, </w:t>
      </w:r>
      <w:r w:rsidRPr="00984DE3">
        <w:rPr>
          <w:lang w:val="en-US"/>
        </w:rPr>
        <w:t>1999</w:t>
      </w:r>
      <w:r w:rsidR="00404331">
        <w:rPr>
          <w:lang w:val="en-US"/>
        </w:rPr>
        <w:t xml:space="preserve">. </w:t>
      </w:r>
    </w:p>
    <w:p w14:paraId="61A2C0FF" w14:textId="77777777" w:rsidR="00BA4BA9" w:rsidRPr="004E4182" w:rsidRDefault="00984DE3" w:rsidP="008D4598">
      <w:pPr>
        <w:pStyle w:val="Literaturverzeichnis1"/>
        <w:rPr>
          <w:lang w:val="en-US"/>
        </w:rPr>
      </w:pPr>
      <w:r w:rsidRPr="00984DE3">
        <w:rPr>
          <w:lang w:val="en-US"/>
        </w:rPr>
        <w:t xml:space="preserve">Modell, Arnold H. </w:t>
      </w:r>
      <w:r w:rsidR="00DE4A0E">
        <w:rPr>
          <w:lang w:val="en-US"/>
        </w:rPr>
        <w:t>« The Dead Mother Syndrome and the Reconstruction of T</w:t>
      </w:r>
      <w:r w:rsidR="00BA4BA9" w:rsidRPr="00984DE3">
        <w:rPr>
          <w:lang w:val="en-US"/>
        </w:rPr>
        <w:t>rauma »</w:t>
      </w:r>
      <w:r w:rsidR="00BA4BA9">
        <w:rPr>
          <w:lang w:val="en-US"/>
        </w:rPr>
        <w:t>, dans Kohon, Gregorio (</w:t>
      </w:r>
      <w:proofErr w:type="spellStart"/>
      <w:r w:rsidR="00BA4BA9">
        <w:rPr>
          <w:lang w:val="en-US"/>
        </w:rPr>
        <w:t>éd</w:t>
      </w:r>
      <w:proofErr w:type="spellEnd"/>
      <w:r w:rsidR="00BA4BA9">
        <w:rPr>
          <w:lang w:val="en-US"/>
        </w:rPr>
        <w:t xml:space="preserve">.). </w:t>
      </w:r>
      <w:r w:rsidR="00BA4BA9" w:rsidRPr="00404331">
        <w:rPr>
          <w:i/>
          <w:lang w:val="en-US"/>
        </w:rPr>
        <w:t xml:space="preserve">The Dead </w:t>
      </w:r>
      <w:proofErr w:type="gramStart"/>
      <w:r w:rsidR="00BA4BA9" w:rsidRPr="00404331">
        <w:rPr>
          <w:i/>
          <w:lang w:val="en-US"/>
        </w:rPr>
        <w:t>Mother :</w:t>
      </w:r>
      <w:proofErr w:type="gramEnd"/>
      <w:r w:rsidR="00BA4BA9" w:rsidRPr="00404331">
        <w:rPr>
          <w:i/>
          <w:lang w:val="en-US"/>
        </w:rPr>
        <w:t xml:space="preserve"> The Work of André Green</w:t>
      </w:r>
      <w:r w:rsidR="00BA4BA9">
        <w:rPr>
          <w:lang w:val="en-US"/>
        </w:rPr>
        <w:t xml:space="preserve">. </w:t>
      </w:r>
      <w:proofErr w:type="gramStart"/>
      <w:r w:rsidR="0066461F">
        <w:rPr>
          <w:lang w:val="en-US"/>
        </w:rPr>
        <w:t>London :</w:t>
      </w:r>
      <w:proofErr w:type="gramEnd"/>
      <w:r w:rsidR="0066461F">
        <w:rPr>
          <w:lang w:val="en-US"/>
        </w:rPr>
        <w:t xml:space="preserve"> Routledge, 1999, 76-86.</w:t>
      </w:r>
      <w:r w:rsidR="00BA4BA9" w:rsidRPr="004E4182">
        <w:rPr>
          <w:lang w:val="en-US"/>
        </w:rPr>
        <w:t xml:space="preserve">  </w:t>
      </w:r>
    </w:p>
    <w:p w14:paraId="3BD2DECA" w14:textId="77777777" w:rsidR="00984DE3" w:rsidRPr="00984DE3" w:rsidRDefault="00984DE3" w:rsidP="008D4598">
      <w:pPr>
        <w:pStyle w:val="Literaturverzeichnis1"/>
        <w:rPr>
          <w:lang w:val="fr-FR"/>
        </w:rPr>
      </w:pPr>
      <w:r w:rsidRPr="00984DE3">
        <w:rPr>
          <w:lang w:val="fr-FR"/>
        </w:rPr>
        <w:t>NDiaye, Marie</w:t>
      </w:r>
      <w:r w:rsidR="00287E12">
        <w:rPr>
          <w:lang w:val="fr-FR"/>
        </w:rPr>
        <w:t xml:space="preserve">. </w:t>
      </w:r>
      <w:r w:rsidRPr="00984DE3">
        <w:rPr>
          <w:lang w:val="fr-FR"/>
        </w:rPr>
        <w:t> </w:t>
      </w:r>
      <w:r w:rsidR="00287E12" w:rsidRPr="00287E12">
        <w:rPr>
          <w:i/>
          <w:lang w:val="fr-FR"/>
        </w:rPr>
        <w:t>Les Grandes Personnes</w:t>
      </w:r>
      <w:r w:rsidR="00287E12">
        <w:rPr>
          <w:lang w:val="fr-FR"/>
        </w:rPr>
        <w:t xml:space="preserve">. </w:t>
      </w:r>
      <w:r w:rsidRPr="00984DE3">
        <w:rPr>
          <w:lang w:val="fr-FR"/>
        </w:rPr>
        <w:t>Paris : Gallimard</w:t>
      </w:r>
      <w:r w:rsidR="00287E12">
        <w:rPr>
          <w:lang w:val="fr-FR"/>
        </w:rPr>
        <w:t>, 2011</w:t>
      </w:r>
      <w:r w:rsidRPr="00984DE3">
        <w:rPr>
          <w:lang w:val="fr-FR"/>
        </w:rPr>
        <w:t xml:space="preserve">. </w:t>
      </w:r>
    </w:p>
    <w:p w14:paraId="23B9B14B" w14:textId="77777777" w:rsidR="00287E12" w:rsidRDefault="00287E12" w:rsidP="008D4598">
      <w:pPr>
        <w:pStyle w:val="Literaturverzeichnis1"/>
        <w:rPr>
          <w:lang w:val="fr-FR"/>
        </w:rPr>
      </w:pPr>
      <w:r w:rsidRPr="00984DE3">
        <w:rPr>
          <w:lang w:val="fr-FR"/>
        </w:rPr>
        <w:t>——</w:t>
      </w:r>
      <w:r>
        <w:rPr>
          <w:lang w:val="fr-FR"/>
        </w:rPr>
        <w:t xml:space="preserve">. </w:t>
      </w:r>
      <w:r w:rsidRPr="00287E12">
        <w:rPr>
          <w:i/>
          <w:lang w:val="fr-FR"/>
        </w:rPr>
        <w:t>Trois femmes puissantes</w:t>
      </w:r>
      <w:r w:rsidRPr="00984DE3">
        <w:rPr>
          <w:lang w:val="fr-FR"/>
        </w:rPr>
        <w:t>. Paris : Gallimard</w:t>
      </w:r>
      <w:r>
        <w:rPr>
          <w:lang w:val="fr-FR"/>
        </w:rPr>
        <w:t>, 2009.</w:t>
      </w:r>
    </w:p>
    <w:p w14:paraId="25D34FC8" w14:textId="77777777" w:rsidR="00984DE3" w:rsidRPr="00984DE3" w:rsidRDefault="00287E12" w:rsidP="008D4598">
      <w:pPr>
        <w:pStyle w:val="Literaturverzeichnis1"/>
        <w:rPr>
          <w:lang w:val="fr-FR"/>
        </w:rPr>
      </w:pPr>
      <w:r w:rsidRPr="00984DE3">
        <w:rPr>
          <w:lang w:val="fr-FR"/>
        </w:rPr>
        <w:t>——</w:t>
      </w:r>
      <w:r>
        <w:rPr>
          <w:lang w:val="fr-FR"/>
        </w:rPr>
        <w:t xml:space="preserve">. </w:t>
      </w:r>
      <w:r w:rsidR="00DE4A0E">
        <w:rPr>
          <w:lang w:val="fr-FR"/>
        </w:rPr>
        <w:t>« Le J</w:t>
      </w:r>
      <w:r w:rsidRPr="00984DE3">
        <w:rPr>
          <w:lang w:val="fr-FR"/>
        </w:rPr>
        <w:t>our du Président »</w:t>
      </w:r>
      <w:r>
        <w:rPr>
          <w:lang w:val="fr-FR"/>
        </w:rPr>
        <w:t xml:space="preserve">, dans </w:t>
      </w:r>
      <w:r w:rsidR="00984DE3" w:rsidRPr="00984DE3">
        <w:rPr>
          <w:lang w:val="fr-FR"/>
        </w:rPr>
        <w:t>Modiano, Patrick</w:t>
      </w:r>
      <w:r>
        <w:rPr>
          <w:lang w:val="fr-FR"/>
        </w:rPr>
        <w:t xml:space="preserve">, </w:t>
      </w:r>
      <w:r w:rsidR="00984DE3" w:rsidRPr="00984DE3">
        <w:rPr>
          <w:lang w:val="fr-FR"/>
        </w:rPr>
        <w:t>NDiaye, Marie</w:t>
      </w:r>
      <w:r>
        <w:rPr>
          <w:lang w:val="fr-FR"/>
        </w:rPr>
        <w:t xml:space="preserve"> et </w:t>
      </w:r>
      <w:proofErr w:type="spellStart"/>
      <w:r w:rsidR="00984DE3" w:rsidRPr="00984DE3">
        <w:rPr>
          <w:lang w:val="fr-FR"/>
        </w:rPr>
        <w:t>Spiess</w:t>
      </w:r>
      <w:proofErr w:type="spellEnd"/>
      <w:r w:rsidR="00984DE3" w:rsidRPr="00984DE3">
        <w:rPr>
          <w:lang w:val="fr-FR"/>
        </w:rPr>
        <w:t>, Alain</w:t>
      </w:r>
      <w:r>
        <w:rPr>
          <w:lang w:val="fr-FR"/>
        </w:rPr>
        <w:t>.</w:t>
      </w:r>
      <w:r w:rsidR="00984DE3" w:rsidRPr="00984DE3">
        <w:rPr>
          <w:lang w:val="fr-FR"/>
        </w:rPr>
        <w:t xml:space="preserve"> </w:t>
      </w:r>
      <w:r w:rsidR="00984DE3" w:rsidRPr="00287E12">
        <w:rPr>
          <w:i/>
          <w:lang w:val="fr-FR"/>
        </w:rPr>
        <w:t>Trois nouvelles contemporaines</w:t>
      </w:r>
      <w:r w:rsidR="00984DE3" w:rsidRPr="00984DE3">
        <w:rPr>
          <w:lang w:val="fr-FR"/>
        </w:rPr>
        <w:t>. Paris : Gallimard</w:t>
      </w:r>
      <w:r>
        <w:rPr>
          <w:lang w:val="fr-FR"/>
        </w:rPr>
        <w:t>,</w:t>
      </w:r>
      <w:r w:rsidR="00984DE3" w:rsidRPr="00984DE3" w:rsidDel="00325609">
        <w:rPr>
          <w:lang w:val="fr-FR"/>
        </w:rPr>
        <w:t xml:space="preserve"> </w:t>
      </w:r>
      <w:r w:rsidRPr="00984DE3">
        <w:rPr>
          <w:lang w:val="fr-FR"/>
        </w:rPr>
        <w:t>2006</w:t>
      </w:r>
      <w:r>
        <w:rPr>
          <w:lang w:val="fr-FR"/>
        </w:rPr>
        <w:t>.</w:t>
      </w:r>
    </w:p>
    <w:p w14:paraId="36A874B6" w14:textId="77777777" w:rsidR="002D05DC" w:rsidRDefault="002D05DC" w:rsidP="008D4598">
      <w:pPr>
        <w:pStyle w:val="Literaturverzeichnis1"/>
        <w:rPr>
          <w:lang w:val="fr-FR"/>
        </w:rPr>
      </w:pPr>
      <w:r w:rsidRPr="00984DE3">
        <w:rPr>
          <w:lang w:val="fr-FR"/>
        </w:rPr>
        <w:t>——</w:t>
      </w:r>
      <w:r>
        <w:rPr>
          <w:lang w:val="fr-FR"/>
        </w:rPr>
        <w:t xml:space="preserve">. </w:t>
      </w:r>
      <w:r w:rsidRPr="002D05DC">
        <w:rPr>
          <w:i/>
          <w:lang w:val="fr-FR"/>
        </w:rPr>
        <w:t>Autoportrait en vert</w:t>
      </w:r>
      <w:r w:rsidRPr="00984DE3">
        <w:rPr>
          <w:lang w:val="fr-FR"/>
        </w:rPr>
        <w:t xml:space="preserve">. Paris : Mercure de </w:t>
      </w:r>
      <w:r>
        <w:rPr>
          <w:lang w:val="fr-FR"/>
        </w:rPr>
        <w:t>France, 2005.</w:t>
      </w:r>
      <w:r w:rsidRPr="00984DE3">
        <w:rPr>
          <w:lang w:val="fr-FR"/>
        </w:rPr>
        <w:t xml:space="preserve"> </w:t>
      </w:r>
    </w:p>
    <w:p w14:paraId="779247C6" w14:textId="77777777" w:rsidR="00984DE3" w:rsidRPr="00984DE3" w:rsidRDefault="002D05DC" w:rsidP="008D4598">
      <w:pPr>
        <w:pStyle w:val="Literaturverzeichnis1"/>
        <w:rPr>
          <w:lang w:val="fr-FR"/>
        </w:rPr>
      </w:pPr>
      <w:r w:rsidRPr="00984DE3">
        <w:rPr>
          <w:lang w:val="fr-FR"/>
        </w:rPr>
        <w:t>——</w:t>
      </w:r>
      <w:r>
        <w:rPr>
          <w:lang w:val="fr-FR"/>
        </w:rPr>
        <w:t xml:space="preserve">. </w:t>
      </w:r>
      <w:r w:rsidRPr="002D05DC">
        <w:rPr>
          <w:i/>
          <w:lang w:val="fr-FR"/>
        </w:rPr>
        <w:t>Tous mes amis</w:t>
      </w:r>
      <w:r w:rsidRPr="00984DE3">
        <w:rPr>
          <w:lang w:val="fr-FR"/>
        </w:rPr>
        <w:t>. Paris : Éditions de Minuit</w:t>
      </w:r>
      <w:r>
        <w:rPr>
          <w:lang w:val="fr-FR"/>
        </w:rPr>
        <w:t>, 2004a.</w:t>
      </w:r>
    </w:p>
    <w:p w14:paraId="41D87915" w14:textId="77777777" w:rsidR="00984DE3" w:rsidRPr="00984DE3" w:rsidRDefault="002D05DC" w:rsidP="002D05DC">
      <w:pPr>
        <w:pStyle w:val="Literaturverzeichnis1"/>
        <w:rPr>
          <w:lang w:val="fr-FR"/>
        </w:rPr>
      </w:pPr>
      <w:r w:rsidRPr="00984DE3">
        <w:rPr>
          <w:lang w:val="fr-FR"/>
        </w:rPr>
        <w:t>——</w:t>
      </w:r>
      <w:r>
        <w:rPr>
          <w:lang w:val="fr-FR"/>
        </w:rPr>
        <w:t>.</w:t>
      </w:r>
      <w:r w:rsidRPr="002D05DC">
        <w:rPr>
          <w:i/>
          <w:lang w:val="fr-FR"/>
        </w:rPr>
        <w:t xml:space="preserve"> Rien d’humain</w:t>
      </w:r>
      <w:r>
        <w:rPr>
          <w:lang w:val="fr-FR"/>
        </w:rPr>
        <w:t xml:space="preserve">. Paris : </w:t>
      </w:r>
      <w:r w:rsidR="00984DE3" w:rsidRPr="00984DE3">
        <w:rPr>
          <w:lang w:val="fr-FR"/>
        </w:rPr>
        <w:t>Les solitaires intempestifs</w:t>
      </w:r>
      <w:r>
        <w:rPr>
          <w:lang w:val="fr-FR"/>
        </w:rPr>
        <w:t xml:space="preserve">, 2004b. </w:t>
      </w:r>
    </w:p>
    <w:p w14:paraId="28A9E1BD" w14:textId="77777777" w:rsidR="00984DE3" w:rsidRPr="00984DE3" w:rsidRDefault="002D05DC" w:rsidP="008D4598">
      <w:pPr>
        <w:pStyle w:val="Literaturverzeichnis1"/>
        <w:rPr>
          <w:lang w:val="fr-FR"/>
        </w:rPr>
      </w:pPr>
      <w:r w:rsidRPr="00984DE3">
        <w:rPr>
          <w:lang w:val="fr-FR"/>
        </w:rPr>
        <w:t>——</w:t>
      </w:r>
      <w:r>
        <w:rPr>
          <w:lang w:val="fr-FR"/>
        </w:rPr>
        <w:t xml:space="preserve">. </w:t>
      </w:r>
      <w:r w:rsidRPr="002D05DC">
        <w:rPr>
          <w:i/>
          <w:lang w:val="fr-FR"/>
        </w:rPr>
        <w:t>Papa doit manger</w:t>
      </w:r>
      <w:r>
        <w:rPr>
          <w:lang w:val="fr-FR"/>
        </w:rPr>
        <w:t xml:space="preserve">. </w:t>
      </w:r>
      <w:r w:rsidR="00984DE3" w:rsidRPr="00984DE3">
        <w:rPr>
          <w:lang w:val="fr-FR"/>
        </w:rPr>
        <w:t>Paris : Éditions de Minuit</w:t>
      </w:r>
      <w:r>
        <w:rPr>
          <w:lang w:val="fr-FR"/>
        </w:rPr>
        <w:t>, 2003.</w:t>
      </w:r>
    </w:p>
    <w:p w14:paraId="1845D19A" w14:textId="77777777" w:rsidR="00984DE3" w:rsidRPr="00984DE3" w:rsidRDefault="002D05DC" w:rsidP="008D4598">
      <w:pPr>
        <w:pStyle w:val="Literaturverzeichnis1"/>
        <w:rPr>
          <w:lang w:val="fr-FR"/>
        </w:rPr>
      </w:pPr>
      <w:r w:rsidRPr="00984DE3">
        <w:rPr>
          <w:lang w:val="fr-FR"/>
        </w:rPr>
        <w:t>——</w:t>
      </w:r>
      <w:r>
        <w:rPr>
          <w:lang w:val="fr-FR"/>
        </w:rPr>
        <w:t xml:space="preserve">. </w:t>
      </w:r>
      <w:r w:rsidRPr="002D05DC">
        <w:rPr>
          <w:i/>
          <w:lang w:val="fr-FR"/>
        </w:rPr>
        <w:t>Rosie Carpe</w:t>
      </w:r>
      <w:r>
        <w:rPr>
          <w:i/>
          <w:lang w:val="fr-FR"/>
        </w:rPr>
        <w:t xml:space="preserve">. </w:t>
      </w:r>
      <w:r>
        <w:rPr>
          <w:lang w:val="fr-FR"/>
        </w:rPr>
        <w:t>Paris : Éditions de Minuit, 2001.</w:t>
      </w:r>
    </w:p>
    <w:p w14:paraId="4986AE6D" w14:textId="77777777" w:rsidR="00984DE3" w:rsidRPr="00984DE3" w:rsidRDefault="002D05DC" w:rsidP="008D4598">
      <w:pPr>
        <w:pStyle w:val="Literaturverzeichnis1"/>
        <w:rPr>
          <w:lang w:val="fr-FR"/>
        </w:rPr>
      </w:pPr>
      <w:r w:rsidRPr="00984DE3">
        <w:rPr>
          <w:lang w:val="fr-FR"/>
        </w:rPr>
        <w:lastRenderedPageBreak/>
        <w:t>——</w:t>
      </w:r>
      <w:r>
        <w:rPr>
          <w:lang w:val="fr-FR"/>
        </w:rPr>
        <w:t xml:space="preserve">. </w:t>
      </w:r>
      <w:r w:rsidRPr="002D05DC">
        <w:rPr>
          <w:i/>
          <w:lang w:val="fr-FR"/>
        </w:rPr>
        <w:t>Hilda</w:t>
      </w:r>
      <w:r>
        <w:rPr>
          <w:lang w:val="fr-FR"/>
        </w:rPr>
        <w:t xml:space="preserve">. </w:t>
      </w:r>
      <w:r w:rsidR="00984DE3" w:rsidRPr="00984DE3">
        <w:rPr>
          <w:lang w:val="fr-FR"/>
        </w:rPr>
        <w:t>Paris : Éditions de Minuit</w:t>
      </w:r>
      <w:r>
        <w:rPr>
          <w:lang w:val="fr-FR"/>
        </w:rPr>
        <w:t xml:space="preserve">, 1999. </w:t>
      </w:r>
    </w:p>
    <w:p w14:paraId="4EDE6F40" w14:textId="77777777" w:rsidR="00984DE3" w:rsidRPr="00984DE3" w:rsidRDefault="002D05DC" w:rsidP="002D05DC">
      <w:pPr>
        <w:pStyle w:val="Literaturverzeichnis1"/>
        <w:rPr>
          <w:lang w:val="fr-FR"/>
        </w:rPr>
      </w:pPr>
      <w:r w:rsidRPr="00984DE3">
        <w:rPr>
          <w:lang w:val="fr-FR"/>
        </w:rPr>
        <w:t>——</w:t>
      </w:r>
      <w:r>
        <w:rPr>
          <w:lang w:val="fr-FR"/>
        </w:rPr>
        <w:t xml:space="preserve">. </w:t>
      </w:r>
      <w:r w:rsidRPr="002D05DC">
        <w:rPr>
          <w:i/>
          <w:lang w:val="fr-FR"/>
        </w:rPr>
        <w:t>La Sorcière</w:t>
      </w:r>
      <w:r w:rsidRPr="00984DE3">
        <w:rPr>
          <w:lang w:val="fr-FR"/>
        </w:rPr>
        <w:t>. Paris : Éditions de Minuit</w:t>
      </w:r>
      <w:r>
        <w:rPr>
          <w:lang w:val="fr-FR"/>
        </w:rPr>
        <w:t>,</w:t>
      </w:r>
      <w:r w:rsidRPr="00984DE3">
        <w:rPr>
          <w:lang w:val="fr-FR"/>
        </w:rPr>
        <w:t xml:space="preserve"> </w:t>
      </w:r>
      <w:r w:rsidR="00984DE3" w:rsidRPr="00984DE3">
        <w:rPr>
          <w:lang w:val="fr-FR"/>
        </w:rPr>
        <w:t>1996</w:t>
      </w:r>
      <w:r>
        <w:rPr>
          <w:lang w:val="fr-FR"/>
        </w:rPr>
        <w:t>.</w:t>
      </w:r>
    </w:p>
    <w:p w14:paraId="465EDA6B" w14:textId="77777777" w:rsidR="00984DE3" w:rsidRPr="00984DE3" w:rsidRDefault="001F2A88" w:rsidP="008D4598">
      <w:pPr>
        <w:pStyle w:val="Literaturverzeichnis1"/>
        <w:rPr>
          <w:lang w:val="fr-FR"/>
        </w:rPr>
      </w:pPr>
      <w:r w:rsidRPr="00984DE3">
        <w:rPr>
          <w:lang w:val="fr-FR"/>
        </w:rPr>
        <w:t>——</w:t>
      </w:r>
      <w:r>
        <w:rPr>
          <w:lang w:val="fr-FR"/>
        </w:rPr>
        <w:t xml:space="preserve">. </w:t>
      </w:r>
      <w:r w:rsidR="00984DE3" w:rsidRPr="001F2A88">
        <w:rPr>
          <w:i/>
          <w:lang w:val="fr-FR"/>
        </w:rPr>
        <w:t>Un temps de saison</w:t>
      </w:r>
      <w:r w:rsidR="00984DE3" w:rsidRPr="00984DE3">
        <w:rPr>
          <w:lang w:val="fr-FR"/>
        </w:rPr>
        <w:t>. Paris : Éditions de Minuit</w:t>
      </w:r>
      <w:r>
        <w:rPr>
          <w:lang w:val="fr-FR"/>
        </w:rPr>
        <w:t xml:space="preserve">, </w:t>
      </w:r>
      <w:r w:rsidRPr="00984DE3">
        <w:rPr>
          <w:lang w:val="fr-FR"/>
        </w:rPr>
        <w:t>1994</w:t>
      </w:r>
      <w:r w:rsidR="00984DE3" w:rsidRPr="00984DE3">
        <w:rPr>
          <w:lang w:val="fr-FR"/>
        </w:rPr>
        <w:t>.</w:t>
      </w:r>
    </w:p>
    <w:p w14:paraId="3FEE117D" w14:textId="77777777" w:rsidR="00984DE3" w:rsidRPr="00984DE3" w:rsidRDefault="001F2A88" w:rsidP="008D4598">
      <w:pPr>
        <w:pStyle w:val="Literaturverzeichnis1"/>
        <w:rPr>
          <w:lang w:val="fr-FR"/>
        </w:rPr>
      </w:pPr>
      <w:r w:rsidRPr="00984DE3">
        <w:rPr>
          <w:lang w:val="fr-FR"/>
        </w:rPr>
        <w:t>——</w:t>
      </w:r>
      <w:r>
        <w:rPr>
          <w:lang w:val="fr-FR"/>
        </w:rPr>
        <w:t xml:space="preserve">. </w:t>
      </w:r>
      <w:r w:rsidR="00984DE3" w:rsidRPr="001F2A88">
        <w:rPr>
          <w:i/>
          <w:lang w:val="fr-FR"/>
        </w:rPr>
        <w:t>En famille</w:t>
      </w:r>
      <w:r w:rsidR="00984DE3" w:rsidRPr="00984DE3">
        <w:rPr>
          <w:lang w:val="fr-FR"/>
        </w:rPr>
        <w:t>. Paris : Éditions de Minuit</w:t>
      </w:r>
      <w:r>
        <w:rPr>
          <w:lang w:val="fr-FR"/>
        </w:rPr>
        <w:t>,</w:t>
      </w:r>
      <w:r w:rsidRPr="001F2A88">
        <w:rPr>
          <w:lang w:val="fr-FR"/>
        </w:rPr>
        <w:t xml:space="preserve"> </w:t>
      </w:r>
      <w:r w:rsidRPr="00984DE3">
        <w:rPr>
          <w:lang w:val="fr-FR"/>
        </w:rPr>
        <w:t>1990</w:t>
      </w:r>
      <w:r>
        <w:rPr>
          <w:lang w:val="fr-FR"/>
        </w:rPr>
        <w:t xml:space="preserve">. </w:t>
      </w:r>
    </w:p>
    <w:p w14:paraId="2B21C15A" w14:textId="77777777" w:rsidR="00984DE3" w:rsidRPr="00984DE3" w:rsidRDefault="001F2A88" w:rsidP="001F2A88">
      <w:pPr>
        <w:pStyle w:val="Literaturverzeichnis1"/>
        <w:rPr>
          <w:lang w:val="fr-FR"/>
        </w:rPr>
      </w:pPr>
      <w:r w:rsidRPr="00984DE3">
        <w:rPr>
          <w:lang w:val="fr-FR"/>
        </w:rPr>
        <w:t>——</w:t>
      </w:r>
      <w:r>
        <w:rPr>
          <w:lang w:val="fr-FR"/>
        </w:rPr>
        <w:t>.</w:t>
      </w:r>
      <w:r w:rsidRPr="001F2A88">
        <w:rPr>
          <w:i/>
          <w:lang w:val="fr-FR"/>
        </w:rPr>
        <w:t xml:space="preserve"> La Femme changée en bûche</w:t>
      </w:r>
      <w:r>
        <w:rPr>
          <w:i/>
          <w:lang w:val="fr-FR"/>
        </w:rPr>
        <w:t xml:space="preserve">. </w:t>
      </w:r>
      <w:r w:rsidR="00984DE3" w:rsidRPr="00984DE3">
        <w:rPr>
          <w:lang w:val="fr-FR"/>
        </w:rPr>
        <w:t>Paris</w:t>
      </w:r>
      <w:r>
        <w:rPr>
          <w:lang w:val="fr-FR"/>
        </w:rPr>
        <w:t xml:space="preserve"> : </w:t>
      </w:r>
      <w:r w:rsidR="00984DE3" w:rsidRPr="00984DE3">
        <w:rPr>
          <w:lang w:val="fr-FR"/>
        </w:rPr>
        <w:t>Éditions de Minuit</w:t>
      </w:r>
      <w:r>
        <w:rPr>
          <w:lang w:val="fr-FR"/>
        </w:rPr>
        <w:t xml:space="preserve">, 1989. </w:t>
      </w:r>
    </w:p>
    <w:p w14:paraId="49036479" w14:textId="77777777" w:rsidR="00984DE3" w:rsidRPr="004E4182" w:rsidRDefault="00984DE3" w:rsidP="008D4598">
      <w:pPr>
        <w:pStyle w:val="Literaturverzeichnis1"/>
        <w:rPr>
          <w:lang w:val="fr-FR"/>
        </w:rPr>
      </w:pPr>
      <w:proofErr w:type="spellStart"/>
      <w:r w:rsidRPr="004E4182">
        <w:rPr>
          <w:lang w:val="fr-FR"/>
        </w:rPr>
        <w:t>Rabaté</w:t>
      </w:r>
      <w:proofErr w:type="spellEnd"/>
      <w:r w:rsidRPr="004E4182">
        <w:rPr>
          <w:lang w:val="fr-FR"/>
        </w:rPr>
        <w:t>, Dominique</w:t>
      </w:r>
      <w:r w:rsidR="001F2A88" w:rsidRPr="004E4182">
        <w:rPr>
          <w:lang w:val="fr-FR"/>
        </w:rPr>
        <w:t xml:space="preserve">. </w:t>
      </w:r>
      <w:r w:rsidRPr="004E4182">
        <w:rPr>
          <w:i/>
          <w:lang w:val="fr-FR"/>
        </w:rPr>
        <w:t>Marie NDiaye</w:t>
      </w:r>
      <w:r w:rsidR="001F2A88" w:rsidRPr="004E4182">
        <w:rPr>
          <w:lang w:val="fr-FR"/>
        </w:rPr>
        <w:t xml:space="preserve">. </w:t>
      </w:r>
      <w:r w:rsidRPr="004E4182">
        <w:rPr>
          <w:lang w:val="fr-FR"/>
        </w:rPr>
        <w:t>Paris : Textuel</w:t>
      </w:r>
      <w:r w:rsidR="001F2A88" w:rsidRPr="004E4182">
        <w:rPr>
          <w:lang w:val="fr-FR"/>
        </w:rPr>
        <w:t xml:space="preserve">, 2008. </w:t>
      </w:r>
    </w:p>
    <w:p w14:paraId="22325A70" w14:textId="77777777" w:rsidR="00B44443" w:rsidRPr="00B44443" w:rsidRDefault="001F2A88" w:rsidP="00B44443">
      <w:pPr>
        <w:pStyle w:val="Literaturverzeichnis1"/>
        <w:rPr>
          <w:lang w:val="en-US"/>
        </w:rPr>
      </w:pPr>
      <w:proofErr w:type="spellStart"/>
      <w:r w:rsidRPr="004E4182">
        <w:rPr>
          <w:lang w:val="fr-FR"/>
        </w:rPr>
        <w:t>Sekoff</w:t>
      </w:r>
      <w:proofErr w:type="spellEnd"/>
      <w:r w:rsidRPr="004E4182">
        <w:rPr>
          <w:lang w:val="fr-FR"/>
        </w:rPr>
        <w:t xml:space="preserve">, </w:t>
      </w:r>
      <w:proofErr w:type="spellStart"/>
      <w:r w:rsidRPr="004E4182">
        <w:rPr>
          <w:lang w:val="fr-FR"/>
        </w:rPr>
        <w:t>Jed</w:t>
      </w:r>
      <w:proofErr w:type="spellEnd"/>
      <w:r w:rsidRPr="004E4182">
        <w:rPr>
          <w:lang w:val="fr-FR"/>
        </w:rPr>
        <w:t xml:space="preserve">. </w:t>
      </w:r>
      <w:r w:rsidR="00995B48">
        <w:rPr>
          <w:lang w:val="en-US"/>
        </w:rPr>
        <w:t xml:space="preserve">« The </w:t>
      </w:r>
      <w:proofErr w:type="gramStart"/>
      <w:r w:rsidR="00995B48">
        <w:rPr>
          <w:lang w:val="en-US"/>
        </w:rPr>
        <w:t>Undead :</w:t>
      </w:r>
      <w:proofErr w:type="gramEnd"/>
      <w:r w:rsidR="00995B48">
        <w:rPr>
          <w:lang w:val="en-US"/>
        </w:rPr>
        <w:t xml:space="preserve"> Necromancy and I</w:t>
      </w:r>
      <w:r w:rsidR="00984DE3" w:rsidRPr="001F2A88">
        <w:rPr>
          <w:lang w:val="en-US"/>
        </w:rPr>
        <w:t xml:space="preserve">nner </w:t>
      </w:r>
      <w:r w:rsidR="00995B48">
        <w:rPr>
          <w:lang w:val="en-US"/>
        </w:rPr>
        <w:t>L</w:t>
      </w:r>
      <w:r w:rsidR="00984DE3" w:rsidRPr="001F2A88">
        <w:rPr>
          <w:lang w:val="en-US"/>
        </w:rPr>
        <w:t>ife »</w:t>
      </w:r>
      <w:r>
        <w:rPr>
          <w:lang w:val="en-US"/>
        </w:rPr>
        <w:t xml:space="preserve"> dans</w:t>
      </w:r>
      <w:r w:rsidR="00B44443">
        <w:rPr>
          <w:lang w:val="en-US"/>
        </w:rPr>
        <w:t xml:space="preserve"> Kohon, Gregorio (</w:t>
      </w:r>
      <w:proofErr w:type="spellStart"/>
      <w:r w:rsidR="00B44443">
        <w:rPr>
          <w:lang w:val="en-US"/>
        </w:rPr>
        <w:t>éd</w:t>
      </w:r>
      <w:proofErr w:type="spellEnd"/>
      <w:r w:rsidR="00B44443">
        <w:rPr>
          <w:lang w:val="en-US"/>
        </w:rPr>
        <w:t xml:space="preserve">.). </w:t>
      </w:r>
      <w:r w:rsidR="00B44443" w:rsidRPr="00404331">
        <w:rPr>
          <w:i/>
          <w:lang w:val="en-US"/>
        </w:rPr>
        <w:t xml:space="preserve">The Dead </w:t>
      </w:r>
      <w:proofErr w:type="gramStart"/>
      <w:r w:rsidR="00B44443" w:rsidRPr="00404331">
        <w:rPr>
          <w:i/>
          <w:lang w:val="en-US"/>
        </w:rPr>
        <w:t>Mother :</w:t>
      </w:r>
      <w:proofErr w:type="gramEnd"/>
      <w:r w:rsidR="00B44443" w:rsidRPr="00404331">
        <w:rPr>
          <w:i/>
          <w:lang w:val="en-US"/>
        </w:rPr>
        <w:t xml:space="preserve"> The Work of André Green</w:t>
      </w:r>
      <w:r w:rsidR="00B44443">
        <w:rPr>
          <w:lang w:val="en-US"/>
        </w:rPr>
        <w:t xml:space="preserve">. </w:t>
      </w:r>
      <w:proofErr w:type="gramStart"/>
      <w:r w:rsidR="0066461F">
        <w:rPr>
          <w:lang w:val="en-US"/>
        </w:rPr>
        <w:t>London :</w:t>
      </w:r>
      <w:proofErr w:type="gramEnd"/>
      <w:r w:rsidR="0066461F">
        <w:rPr>
          <w:lang w:val="en-US"/>
        </w:rPr>
        <w:t xml:space="preserve"> Routledge, 1999, 109-127.</w:t>
      </w:r>
      <w:r w:rsidR="00B44443" w:rsidRPr="00B44443">
        <w:rPr>
          <w:lang w:val="en-US"/>
        </w:rPr>
        <w:t xml:space="preserve">  </w:t>
      </w:r>
    </w:p>
    <w:p w14:paraId="00C4446C" w14:textId="77777777" w:rsidR="00984DE3" w:rsidRPr="00984DE3" w:rsidRDefault="00984DE3" w:rsidP="008D4598">
      <w:pPr>
        <w:pStyle w:val="Literaturverzeichnis1"/>
        <w:rPr>
          <w:lang w:val="en-US"/>
        </w:rPr>
      </w:pPr>
      <w:r w:rsidRPr="001F2A88">
        <w:rPr>
          <w:lang w:val="en-US"/>
        </w:rPr>
        <w:t xml:space="preserve"> </w:t>
      </w:r>
      <w:r w:rsidRPr="00984DE3">
        <w:rPr>
          <w:lang w:val="en-US"/>
        </w:rPr>
        <w:t>Winnicott, Donald</w:t>
      </w:r>
      <w:r w:rsidR="00B44443">
        <w:rPr>
          <w:lang w:val="en-US"/>
        </w:rPr>
        <w:t xml:space="preserve">. </w:t>
      </w:r>
      <w:r w:rsidR="00B44443" w:rsidRPr="003126E5">
        <w:rPr>
          <w:i/>
          <w:lang w:val="en-US"/>
        </w:rPr>
        <w:t xml:space="preserve">Through </w:t>
      </w:r>
      <w:proofErr w:type="spellStart"/>
      <w:r w:rsidR="00B44443" w:rsidRPr="003126E5">
        <w:rPr>
          <w:i/>
          <w:lang w:val="en-US"/>
        </w:rPr>
        <w:t>Paediatrics</w:t>
      </w:r>
      <w:proofErr w:type="spellEnd"/>
      <w:r w:rsidR="00B44443" w:rsidRPr="003126E5">
        <w:rPr>
          <w:i/>
          <w:lang w:val="en-US"/>
        </w:rPr>
        <w:t xml:space="preserve"> to Psychoanalysis</w:t>
      </w:r>
      <w:r w:rsidR="00B44443">
        <w:rPr>
          <w:lang w:val="en-US"/>
        </w:rPr>
        <w:t xml:space="preserve">. </w:t>
      </w:r>
      <w:proofErr w:type="gramStart"/>
      <w:r w:rsidRPr="00984DE3">
        <w:rPr>
          <w:lang w:val="en-US"/>
        </w:rPr>
        <w:t>London</w:t>
      </w:r>
      <w:r w:rsidR="00B44443">
        <w:rPr>
          <w:lang w:val="en-US"/>
        </w:rPr>
        <w:t xml:space="preserve"> </w:t>
      </w:r>
      <w:r w:rsidRPr="00984DE3">
        <w:rPr>
          <w:lang w:val="en-US"/>
        </w:rPr>
        <w:t>:</w:t>
      </w:r>
      <w:proofErr w:type="gramEnd"/>
      <w:r w:rsidRPr="00984DE3">
        <w:rPr>
          <w:lang w:val="en-US"/>
        </w:rPr>
        <w:t xml:space="preserve"> Tavistock</w:t>
      </w:r>
      <w:r w:rsidR="00B44443">
        <w:rPr>
          <w:lang w:val="en-US"/>
        </w:rPr>
        <w:t xml:space="preserve">, 1958. </w:t>
      </w:r>
    </w:p>
    <w:p w14:paraId="04818C86" w14:textId="77777777" w:rsidR="00984DE3" w:rsidRPr="00B44443" w:rsidRDefault="00984DE3" w:rsidP="00984DE3">
      <w:pPr>
        <w:rPr>
          <w:lang w:val="en-US"/>
        </w:rPr>
      </w:pPr>
    </w:p>
    <w:p w14:paraId="78F8A760" w14:textId="77777777" w:rsidR="00984DE3" w:rsidRPr="00B44443" w:rsidRDefault="00984DE3" w:rsidP="00984DE3">
      <w:pPr>
        <w:rPr>
          <w:lang w:val="en-US"/>
        </w:rPr>
      </w:pPr>
    </w:p>
    <w:p w14:paraId="763A0A24" w14:textId="77777777" w:rsidR="00984DE3" w:rsidRPr="00B44443" w:rsidRDefault="00984DE3" w:rsidP="00984DE3">
      <w:pPr>
        <w:rPr>
          <w:lang w:val="en-US"/>
        </w:rPr>
      </w:pPr>
    </w:p>
    <w:p w14:paraId="2BA3FDB1" w14:textId="77777777" w:rsidR="00984DE3" w:rsidRPr="00B44443" w:rsidRDefault="00984DE3" w:rsidP="00984DE3">
      <w:pPr>
        <w:rPr>
          <w:lang w:val="en-US"/>
        </w:rPr>
      </w:pPr>
    </w:p>
    <w:p w14:paraId="4D483775" w14:textId="77777777" w:rsidR="00984DE3" w:rsidRPr="00B44443" w:rsidRDefault="00984DE3" w:rsidP="00984DE3">
      <w:pPr>
        <w:rPr>
          <w:lang w:val="en-US"/>
        </w:rPr>
      </w:pPr>
    </w:p>
    <w:sectPr w:rsidR="00984DE3" w:rsidRPr="00B44443" w:rsidSect="00995B48">
      <w:headerReference w:type="even" r:id="rId7"/>
      <w:headerReference w:type="default" r:id="rId8"/>
      <w:pgSz w:w="11906" w:h="16838" w:code="9"/>
      <w:pgMar w:top="2835" w:right="2835" w:bottom="3969" w:left="2835" w:header="2268"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C890F" w14:textId="77777777" w:rsidR="00334D93" w:rsidRDefault="00334D93" w:rsidP="00653ED0">
      <w:r>
        <w:separator/>
      </w:r>
    </w:p>
  </w:endnote>
  <w:endnote w:type="continuationSeparator" w:id="0">
    <w:p w14:paraId="1E27D21C" w14:textId="77777777" w:rsidR="00334D93" w:rsidRDefault="00334D93" w:rsidP="00653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902A9" w14:textId="77777777" w:rsidR="00334D93" w:rsidRDefault="00334D93" w:rsidP="00653ED0">
      <w:r>
        <w:separator/>
      </w:r>
    </w:p>
  </w:footnote>
  <w:footnote w:type="continuationSeparator" w:id="0">
    <w:p w14:paraId="689CC8F3" w14:textId="77777777" w:rsidR="00334D93" w:rsidRDefault="00334D93" w:rsidP="00653ED0">
      <w:r>
        <w:continuationSeparator/>
      </w:r>
    </w:p>
  </w:footnote>
  <w:footnote w:id="1">
    <w:p w14:paraId="1D7CDE6A" w14:textId="77777777" w:rsidR="00D261A4" w:rsidRPr="00653ED0" w:rsidRDefault="00D261A4" w:rsidP="00297E5C">
      <w:pPr>
        <w:pStyle w:val="Funote"/>
        <w:rPr>
          <w:lang w:val="fr-FR"/>
        </w:rPr>
      </w:pPr>
      <w:r w:rsidRPr="00DE0E7F">
        <w:rPr>
          <w:rStyle w:val="FootnoteReference"/>
          <w:vertAlign w:val="superscript"/>
        </w:rPr>
        <w:footnoteRef/>
      </w:r>
      <w:r w:rsidRPr="00653ED0">
        <w:rPr>
          <w:lang w:val="fr-FR"/>
        </w:rPr>
        <w:t xml:space="preserve"> Marie NDiaye, </w:t>
      </w:r>
      <w:r w:rsidRPr="00653ED0">
        <w:rPr>
          <w:i/>
          <w:lang w:val="fr-FR"/>
        </w:rPr>
        <w:t>La Sorcière</w:t>
      </w:r>
      <w:r w:rsidRPr="00653ED0">
        <w:rPr>
          <w:lang w:val="fr-FR"/>
        </w:rPr>
        <w:t xml:space="preserve"> (</w:t>
      </w:r>
      <w:proofErr w:type="gramStart"/>
      <w:r w:rsidRPr="00653ED0">
        <w:rPr>
          <w:lang w:val="fr-FR"/>
        </w:rPr>
        <w:t>Paris:</w:t>
      </w:r>
      <w:proofErr w:type="gramEnd"/>
      <w:r w:rsidRPr="00653ED0">
        <w:rPr>
          <w:lang w:val="fr-FR"/>
        </w:rPr>
        <w:t xml:space="preserve"> Éditions de Minuit, 1996), 110.  </w:t>
      </w:r>
    </w:p>
  </w:footnote>
  <w:footnote w:id="2">
    <w:p w14:paraId="5A6D4845" w14:textId="77777777" w:rsidR="00D261A4" w:rsidRPr="00653ED0" w:rsidRDefault="00D261A4" w:rsidP="00297E5C">
      <w:pPr>
        <w:pStyle w:val="Funote"/>
        <w:rPr>
          <w:lang w:val="fr-FR"/>
        </w:rPr>
      </w:pPr>
      <w:r w:rsidRPr="00DE0E7F">
        <w:rPr>
          <w:rStyle w:val="FootnoteReference"/>
          <w:vertAlign w:val="superscript"/>
        </w:rPr>
        <w:footnoteRef/>
      </w:r>
      <w:r>
        <w:rPr>
          <w:lang w:val="fr-FR"/>
        </w:rPr>
        <w:t xml:space="preserve"> Marie NDiaye</w:t>
      </w:r>
      <w:r w:rsidRPr="00653ED0">
        <w:rPr>
          <w:lang w:val="fr-FR"/>
        </w:rPr>
        <w:t xml:space="preserve">, </w:t>
      </w:r>
      <w:r w:rsidRPr="00653ED0">
        <w:rPr>
          <w:i/>
          <w:lang w:val="fr-FR"/>
        </w:rPr>
        <w:t>Autoportrait en vert</w:t>
      </w:r>
      <w:r w:rsidRPr="00653ED0">
        <w:rPr>
          <w:lang w:val="fr-FR"/>
        </w:rPr>
        <w:t xml:space="preserve"> (</w:t>
      </w:r>
      <w:proofErr w:type="gramStart"/>
      <w:r w:rsidRPr="00653ED0">
        <w:rPr>
          <w:lang w:val="fr-FR"/>
        </w:rPr>
        <w:t>Paris:</w:t>
      </w:r>
      <w:proofErr w:type="gramEnd"/>
      <w:r w:rsidRPr="00653ED0">
        <w:rPr>
          <w:lang w:val="fr-FR"/>
        </w:rPr>
        <w:t xml:space="preserve"> Mercure de France, 2005), </w:t>
      </w:r>
      <w:r>
        <w:rPr>
          <w:lang w:val="fr-FR"/>
        </w:rPr>
        <w:t xml:space="preserve">68. </w:t>
      </w:r>
    </w:p>
  </w:footnote>
  <w:footnote w:id="3">
    <w:p w14:paraId="2D7A6F03" w14:textId="77777777" w:rsidR="00D261A4" w:rsidRPr="00DE0E7F" w:rsidRDefault="00D261A4" w:rsidP="00DE0E7F">
      <w:pPr>
        <w:pStyle w:val="Funote"/>
        <w:rPr>
          <w:lang w:val="fr-FR"/>
        </w:rPr>
      </w:pPr>
      <w:r w:rsidRPr="00DE0E7F">
        <w:rPr>
          <w:rStyle w:val="FootnoteReference"/>
          <w:vertAlign w:val="superscript"/>
        </w:rPr>
        <w:footnoteRef/>
      </w:r>
      <w:r w:rsidRPr="00DE0E7F">
        <w:rPr>
          <w:lang w:val="fr-FR"/>
        </w:rPr>
        <w:t xml:space="preserve"> </w:t>
      </w:r>
      <w:r>
        <w:rPr>
          <w:lang w:val="fr-FR"/>
        </w:rPr>
        <w:t xml:space="preserve">Voir Marie NDiaye, </w:t>
      </w:r>
      <w:r w:rsidRPr="00DE0E7F">
        <w:rPr>
          <w:i/>
          <w:lang w:val="fr-FR"/>
        </w:rPr>
        <w:t>En famille</w:t>
      </w:r>
      <w:r>
        <w:rPr>
          <w:lang w:val="fr-FR"/>
        </w:rPr>
        <w:t xml:space="preserve"> (Paris : Éditions de Minuit, 1990). </w:t>
      </w:r>
    </w:p>
  </w:footnote>
  <w:footnote w:id="4">
    <w:p w14:paraId="4D0187CD" w14:textId="77777777" w:rsidR="00D261A4" w:rsidRPr="00DE0E7F" w:rsidRDefault="00D261A4" w:rsidP="00DE0E7F">
      <w:pPr>
        <w:pStyle w:val="Funote"/>
        <w:rPr>
          <w:lang w:val="fr-FR"/>
        </w:rPr>
      </w:pPr>
      <w:r w:rsidRPr="00DE0E7F">
        <w:rPr>
          <w:rStyle w:val="FootnoteReference"/>
          <w:vertAlign w:val="superscript"/>
        </w:rPr>
        <w:footnoteRef/>
      </w:r>
      <w:r w:rsidRPr="00DE0E7F">
        <w:rPr>
          <w:vertAlign w:val="superscript"/>
          <w:lang w:val="fr-FR"/>
        </w:rPr>
        <w:t xml:space="preserve"> </w:t>
      </w:r>
      <w:r>
        <w:rPr>
          <w:lang w:val="fr-FR"/>
        </w:rPr>
        <w:t xml:space="preserve">Voir Marie NDiaye, </w:t>
      </w:r>
      <w:r w:rsidRPr="00DE0E7F">
        <w:rPr>
          <w:i/>
          <w:lang w:val="fr-FR"/>
        </w:rPr>
        <w:t>Rosie Carpe</w:t>
      </w:r>
      <w:r>
        <w:rPr>
          <w:lang w:val="fr-FR"/>
        </w:rPr>
        <w:t xml:space="preserve"> (Paris : Éditions de Minuit, 2001). </w:t>
      </w:r>
    </w:p>
  </w:footnote>
  <w:footnote w:id="5">
    <w:p w14:paraId="4EC3A8C6" w14:textId="77777777" w:rsidR="00D261A4" w:rsidRPr="00DE0E7F" w:rsidRDefault="00D261A4" w:rsidP="00DE0E7F">
      <w:pPr>
        <w:pStyle w:val="Funote"/>
        <w:rPr>
          <w:lang w:val="fr-FR"/>
        </w:rPr>
      </w:pPr>
      <w:r w:rsidRPr="00DE0E7F">
        <w:rPr>
          <w:rStyle w:val="FootnoteReference"/>
          <w:vertAlign w:val="superscript"/>
        </w:rPr>
        <w:footnoteRef/>
      </w:r>
      <w:r w:rsidRPr="00DE0E7F">
        <w:rPr>
          <w:lang w:val="fr-FR"/>
        </w:rPr>
        <w:t xml:space="preserve"> </w:t>
      </w:r>
      <w:r>
        <w:rPr>
          <w:lang w:val="fr-FR"/>
        </w:rPr>
        <w:t xml:space="preserve">Voir Marie NDiaye, </w:t>
      </w:r>
      <w:r w:rsidRPr="00DE0E7F">
        <w:rPr>
          <w:i/>
          <w:lang w:val="fr-FR"/>
        </w:rPr>
        <w:t>Un temps de saison</w:t>
      </w:r>
      <w:r>
        <w:rPr>
          <w:lang w:val="fr-FR"/>
        </w:rPr>
        <w:t xml:space="preserve"> (Paris : Éditions de Minuit, 1994). </w:t>
      </w:r>
    </w:p>
  </w:footnote>
  <w:footnote w:id="6">
    <w:p w14:paraId="432EA3F3" w14:textId="77777777" w:rsidR="00D261A4" w:rsidRPr="004E4182" w:rsidRDefault="00D261A4" w:rsidP="004E4182">
      <w:pPr>
        <w:pStyle w:val="Funote"/>
        <w:rPr>
          <w:lang w:val="fr-FR"/>
        </w:rPr>
      </w:pPr>
      <w:r w:rsidRPr="00DE0E7F">
        <w:rPr>
          <w:rStyle w:val="FootnoteReference"/>
          <w:vertAlign w:val="superscript"/>
          <w:lang w:val="fr-FR"/>
        </w:rPr>
        <w:footnoteRef/>
      </w:r>
      <w:r w:rsidRPr="00357EBC">
        <w:rPr>
          <w:lang w:val="fr-FR"/>
        </w:rPr>
        <w:t xml:space="preserve"> </w:t>
      </w:r>
      <w:r w:rsidRPr="00374303">
        <w:rPr>
          <w:lang w:val="fr-FR"/>
        </w:rPr>
        <w:t xml:space="preserve">André Green, né au Caire en 1927, a écrit « La mère morte » en 1980, et l’on peut trouver cet article dans son volume </w:t>
      </w:r>
      <w:r w:rsidRPr="00374303">
        <w:rPr>
          <w:i/>
          <w:lang w:val="fr-FR"/>
        </w:rPr>
        <w:t xml:space="preserve">Narcissisme de vie, narcissisme de mort </w:t>
      </w:r>
      <w:r w:rsidRPr="00374303">
        <w:rPr>
          <w:lang w:val="fr-FR"/>
        </w:rPr>
        <w:t>(</w:t>
      </w:r>
      <w:r>
        <w:rPr>
          <w:lang w:val="fr-FR"/>
        </w:rPr>
        <w:t>Paris : Éditions de Minuit,</w:t>
      </w:r>
      <w:r w:rsidRPr="00374303">
        <w:rPr>
          <w:lang w:val="fr-FR"/>
        </w:rPr>
        <w:t xml:space="preserve"> 1983). Sa théorie de la mère morte a donné lieu à un vaste corpus de nouveau matérie</w:t>
      </w:r>
      <w:r>
        <w:rPr>
          <w:lang w:val="fr-FR"/>
        </w:rPr>
        <w:t>l psychanalytique, notamment l’</w:t>
      </w:r>
      <w:r w:rsidRPr="00374303">
        <w:rPr>
          <w:lang w:val="fr-FR"/>
        </w:rPr>
        <w:t xml:space="preserve">ouvrage collectif </w:t>
      </w:r>
      <w:r>
        <w:rPr>
          <w:lang w:val="fr-FR"/>
        </w:rPr>
        <w:t xml:space="preserve">de Gregorio </w:t>
      </w:r>
      <w:proofErr w:type="spellStart"/>
      <w:r>
        <w:rPr>
          <w:lang w:val="fr-FR"/>
        </w:rPr>
        <w:t>Kohen</w:t>
      </w:r>
      <w:proofErr w:type="spellEnd"/>
      <w:r>
        <w:rPr>
          <w:lang w:val="fr-FR"/>
        </w:rPr>
        <w:t xml:space="preserve"> (éd.), </w:t>
      </w:r>
      <w:r w:rsidRPr="00374303">
        <w:rPr>
          <w:i/>
          <w:lang w:val="fr-FR"/>
        </w:rPr>
        <w:t xml:space="preserve">The Dead Mother : The Work of André Green </w:t>
      </w:r>
      <w:r>
        <w:rPr>
          <w:lang w:val="fr-FR"/>
        </w:rPr>
        <w:t>(</w:t>
      </w:r>
      <w:r w:rsidRPr="004E4182">
        <w:rPr>
          <w:lang w:val="fr-FR"/>
        </w:rPr>
        <w:t>London : Routledge, 1999</w:t>
      </w:r>
      <w:r>
        <w:rPr>
          <w:lang w:val="fr-FR"/>
        </w:rPr>
        <w:t>), v</w:t>
      </w:r>
      <w:r w:rsidRPr="00374303">
        <w:rPr>
          <w:lang w:val="fr-FR"/>
        </w:rPr>
        <w:t xml:space="preserve">olume enfin édité en français en 2009 sous le titre </w:t>
      </w:r>
      <w:r w:rsidRPr="00374303">
        <w:rPr>
          <w:i/>
          <w:lang w:val="fr-FR"/>
        </w:rPr>
        <w:t xml:space="preserve">Essais sur la mère morte et l’œuvre d’André Green </w:t>
      </w:r>
      <w:r w:rsidRPr="00374303">
        <w:rPr>
          <w:lang w:val="fr-FR"/>
        </w:rPr>
        <w:t>(Paris : Ithaque, 2009).</w:t>
      </w:r>
    </w:p>
  </w:footnote>
  <w:footnote w:id="7">
    <w:p w14:paraId="6F5469F5" w14:textId="77777777" w:rsidR="00D261A4" w:rsidRPr="00DE0E7F" w:rsidRDefault="00D261A4" w:rsidP="00DE0E7F">
      <w:pPr>
        <w:pStyle w:val="Funote"/>
        <w:rPr>
          <w:lang w:val="fr-FR"/>
        </w:rPr>
      </w:pPr>
      <w:r w:rsidRPr="00DE0E7F">
        <w:rPr>
          <w:rStyle w:val="FootnoteReference"/>
          <w:vertAlign w:val="superscript"/>
        </w:rPr>
        <w:footnoteRef/>
      </w:r>
      <w:r w:rsidRPr="00DE0E7F">
        <w:rPr>
          <w:vertAlign w:val="superscript"/>
          <w:lang w:val="fr-FR"/>
        </w:rPr>
        <w:t xml:space="preserve"> </w:t>
      </w:r>
      <w:r>
        <w:rPr>
          <w:lang w:val="fr-FR"/>
        </w:rPr>
        <w:t xml:space="preserve">Green, </w:t>
      </w:r>
      <w:r w:rsidRPr="00374303">
        <w:rPr>
          <w:i/>
          <w:lang w:val="fr-FR"/>
        </w:rPr>
        <w:t>Narcissisme de vie, narcissisme de mort</w:t>
      </w:r>
      <w:r>
        <w:rPr>
          <w:lang w:val="fr-FR"/>
        </w:rPr>
        <w:t xml:space="preserve"> (Paris : Éditions de Minuit, 1983). </w:t>
      </w:r>
    </w:p>
  </w:footnote>
  <w:footnote w:id="8">
    <w:p w14:paraId="1471BD30" w14:textId="77777777" w:rsidR="00D261A4" w:rsidRPr="00F148B0" w:rsidRDefault="00D261A4" w:rsidP="00297E5C">
      <w:pPr>
        <w:pStyle w:val="Funote"/>
        <w:rPr>
          <w:lang w:val="fr-FR"/>
        </w:rPr>
      </w:pPr>
      <w:r w:rsidRPr="00DE0E7F">
        <w:rPr>
          <w:rStyle w:val="FootnoteReference"/>
          <w:vertAlign w:val="superscript"/>
        </w:rPr>
        <w:footnoteRef/>
      </w:r>
      <w:r w:rsidRPr="00F148B0">
        <w:rPr>
          <w:lang w:val="fr-FR"/>
        </w:rPr>
        <w:t xml:space="preserve"> Green, </w:t>
      </w:r>
      <w:r w:rsidRPr="00DE0E7F">
        <w:rPr>
          <w:i/>
          <w:lang w:val="fr-FR"/>
        </w:rPr>
        <w:t>Narcissisme de vie, narcissisme de mort</w:t>
      </w:r>
      <w:r w:rsidRPr="00F148B0">
        <w:rPr>
          <w:lang w:val="fr-FR"/>
        </w:rPr>
        <w:t xml:space="preserve">, 222. </w:t>
      </w:r>
    </w:p>
  </w:footnote>
  <w:footnote w:id="9">
    <w:p w14:paraId="6A73A48A" w14:textId="77777777" w:rsidR="00D261A4" w:rsidRPr="00357EBC" w:rsidRDefault="00D261A4" w:rsidP="00297E5C">
      <w:pPr>
        <w:pStyle w:val="Funote"/>
        <w:rPr>
          <w:lang w:val="fr-FR"/>
        </w:rPr>
      </w:pPr>
      <w:r w:rsidRPr="00DE0E7F">
        <w:rPr>
          <w:rStyle w:val="FootnoteReference"/>
          <w:vertAlign w:val="superscript"/>
          <w:lang w:val="fr-FR"/>
        </w:rPr>
        <w:footnoteRef/>
      </w:r>
      <w:r w:rsidRPr="00357EBC">
        <w:rPr>
          <w:lang w:val="fr-FR"/>
        </w:rPr>
        <w:t xml:space="preserve"> </w:t>
      </w:r>
      <w:r>
        <w:rPr>
          <w:lang w:val="fr-FR"/>
        </w:rPr>
        <w:t>Voir</w:t>
      </w:r>
      <w:r w:rsidRPr="00357EBC">
        <w:rPr>
          <w:lang w:val="fr-FR"/>
        </w:rPr>
        <w:t xml:space="preserve"> </w:t>
      </w:r>
      <w:r>
        <w:rPr>
          <w:lang w:val="fr-FR"/>
        </w:rPr>
        <w:t xml:space="preserve">Jean-Luc </w:t>
      </w:r>
      <w:proofErr w:type="spellStart"/>
      <w:r w:rsidRPr="00357EBC">
        <w:rPr>
          <w:lang w:val="fr-FR"/>
        </w:rPr>
        <w:t>Donnet</w:t>
      </w:r>
      <w:proofErr w:type="spellEnd"/>
      <w:r w:rsidRPr="00357EBC">
        <w:rPr>
          <w:lang w:val="fr-FR"/>
        </w:rPr>
        <w:t xml:space="preserve"> et </w:t>
      </w:r>
      <w:r>
        <w:rPr>
          <w:lang w:val="fr-FR"/>
        </w:rPr>
        <w:t xml:space="preserve">André </w:t>
      </w:r>
      <w:r w:rsidRPr="00357EBC">
        <w:rPr>
          <w:lang w:val="fr-FR"/>
        </w:rPr>
        <w:t>Green</w:t>
      </w:r>
      <w:r>
        <w:rPr>
          <w:lang w:val="fr-FR"/>
        </w:rPr>
        <w:t xml:space="preserve">, </w:t>
      </w:r>
      <w:r w:rsidRPr="00DE0E7F">
        <w:rPr>
          <w:i/>
          <w:lang w:val="fr-FR"/>
        </w:rPr>
        <w:t>L’Enfant de ça : pour introduire une psychose blanche</w:t>
      </w:r>
      <w:r w:rsidRPr="00357EBC">
        <w:rPr>
          <w:lang w:val="fr-FR"/>
        </w:rPr>
        <w:t xml:space="preserve"> (</w:t>
      </w:r>
      <w:r>
        <w:rPr>
          <w:lang w:val="fr-FR"/>
        </w:rPr>
        <w:t xml:space="preserve">Paris : Éditions de Minuit, </w:t>
      </w:r>
      <w:r w:rsidRPr="00357EBC">
        <w:rPr>
          <w:lang w:val="fr-FR"/>
        </w:rPr>
        <w:t>1973). Le concept de « psychose blanche » désigne une condition psychique assez fréquente, mélange de dépression et de psychose non-hallucinatoire. Les « psychotiques blancs » peuvent fonctionner très bien dans la société, sans signe manifeste de crise grave. Leur impression la plus marquée serait une sensation constante de vide subjectif.</w:t>
      </w:r>
    </w:p>
  </w:footnote>
  <w:footnote w:id="10">
    <w:p w14:paraId="717C349F" w14:textId="77777777" w:rsidR="00D261A4" w:rsidRPr="001B69A5" w:rsidRDefault="00D261A4" w:rsidP="00297E5C">
      <w:pPr>
        <w:pStyle w:val="Funote"/>
        <w:rPr>
          <w:lang w:val="fr-FR"/>
        </w:rPr>
      </w:pPr>
      <w:r w:rsidRPr="00DE0E7F">
        <w:rPr>
          <w:rStyle w:val="FootnoteReference"/>
          <w:vertAlign w:val="superscript"/>
        </w:rPr>
        <w:footnoteRef/>
      </w:r>
      <w:r w:rsidRPr="00C932FB">
        <w:rPr>
          <w:lang w:val="fr-FR"/>
        </w:rPr>
        <w:t xml:space="preserve"> Green, </w:t>
      </w:r>
      <w:r w:rsidRPr="00C932FB">
        <w:rPr>
          <w:i/>
          <w:lang w:val="fr-FR"/>
        </w:rPr>
        <w:t>Narcissisme de vie, narcissisme de mort</w:t>
      </w:r>
      <w:r w:rsidRPr="00C932FB">
        <w:rPr>
          <w:lang w:val="fr-FR"/>
        </w:rPr>
        <w:t xml:space="preserve">, 229. </w:t>
      </w:r>
    </w:p>
  </w:footnote>
  <w:footnote w:id="11">
    <w:p w14:paraId="44FBA695" w14:textId="77777777" w:rsidR="00D261A4" w:rsidRPr="00A77FDC" w:rsidRDefault="00D261A4" w:rsidP="00297E5C">
      <w:pPr>
        <w:pStyle w:val="Funote"/>
        <w:rPr>
          <w:lang w:val="en-US"/>
        </w:rPr>
      </w:pPr>
      <w:r w:rsidRPr="00DE0E7F">
        <w:rPr>
          <w:rStyle w:val="FootnoteReference"/>
          <w:vertAlign w:val="superscript"/>
          <w:lang w:val="fr-FR"/>
        </w:rPr>
        <w:footnoteRef/>
      </w:r>
      <w:r w:rsidRPr="00C932FB">
        <w:rPr>
          <w:lang w:val="fr-FR"/>
        </w:rPr>
        <w:t xml:space="preserve"> Dans son travail sur la mère morte, Green développe des recherches déjà faites (surtout dans l’école psychanalytique dite britannique) sur la dépression maternelle et ses effets sur l’enfant. Voir par exemple l’article de D.W. Winnicott « </w:t>
      </w:r>
      <w:proofErr w:type="spellStart"/>
      <w:r w:rsidRPr="00C932FB">
        <w:rPr>
          <w:lang w:val="fr-FR"/>
        </w:rPr>
        <w:t>Reparation</w:t>
      </w:r>
      <w:proofErr w:type="spellEnd"/>
      <w:r w:rsidRPr="00C932FB">
        <w:rPr>
          <w:lang w:val="fr-FR"/>
        </w:rPr>
        <w:t xml:space="preserve"> in Respect of </w:t>
      </w:r>
      <w:proofErr w:type="spellStart"/>
      <w:r w:rsidRPr="00C932FB">
        <w:rPr>
          <w:lang w:val="fr-FR"/>
        </w:rPr>
        <w:t>Mother’s</w:t>
      </w:r>
      <w:proofErr w:type="spellEnd"/>
      <w:r w:rsidRPr="00C932FB">
        <w:rPr>
          <w:lang w:val="fr-FR"/>
        </w:rPr>
        <w:t xml:space="preserve"> </w:t>
      </w:r>
      <w:proofErr w:type="spellStart"/>
      <w:r w:rsidRPr="00C932FB">
        <w:rPr>
          <w:lang w:val="fr-FR"/>
        </w:rPr>
        <w:t>Organized</w:t>
      </w:r>
      <w:proofErr w:type="spellEnd"/>
      <w:r w:rsidRPr="00C932FB">
        <w:rPr>
          <w:lang w:val="fr-FR"/>
        </w:rPr>
        <w:t xml:space="preserve"> </w:t>
      </w:r>
      <w:proofErr w:type="spellStart"/>
      <w:r w:rsidRPr="00C932FB">
        <w:rPr>
          <w:lang w:val="fr-FR"/>
        </w:rPr>
        <w:t>Defence</w:t>
      </w:r>
      <w:proofErr w:type="spellEnd"/>
      <w:r w:rsidRPr="00C932FB">
        <w:rPr>
          <w:lang w:val="fr-FR"/>
        </w:rPr>
        <w:t xml:space="preserve"> </w:t>
      </w:r>
      <w:proofErr w:type="spellStart"/>
      <w:r w:rsidRPr="00C932FB">
        <w:rPr>
          <w:lang w:val="fr-FR"/>
        </w:rPr>
        <w:t>against</w:t>
      </w:r>
      <w:proofErr w:type="spellEnd"/>
      <w:r w:rsidRPr="00C932FB">
        <w:rPr>
          <w:lang w:val="fr-FR"/>
        </w:rPr>
        <w:t xml:space="preserve"> </w:t>
      </w:r>
      <w:proofErr w:type="spellStart"/>
      <w:r w:rsidRPr="00C932FB">
        <w:rPr>
          <w:lang w:val="fr-FR"/>
        </w:rPr>
        <w:t>Depression</w:t>
      </w:r>
      <w:proofErr w:type="spellEnd"/>
      <w:r w:rsidRPr="00C932FB">
        <w:rPr>
          <w:lang w:val="fr-FR"/>
        </w:rPr>
        <w:t xml:space="preserve"> », dans lequel le fameux psychanalyste anglais écrit que les enfants de mère déprimée </w:t>
      </w:r>
      <w:proofErr w:type="gramStart"/>
      <w:r w:rsidRPr="00C932FB">
        <w:rPr>
          <w:lang w:val="fr-FR"/>
        </w:rPr>
        <w:t>ont  «</w:t>
      </w:r>
      <w:proofErr w:type="gramEnd"/>
      <w:r w:rsidRPr="00C932FB">
        <w:rPr>
          <w:lang w:val="fr-FR"/>
        </w:rPr>
        <w:t xml:space="preserve"> a </w:t>
      </w:r>
      <w:proofErr w:type="spellStart"/>
      <w:r w:rsidRPr="00C932FB">
        <w:rPr>
          <w:lang w:val="fr-FR"/>
        </w:rPr>
        <w:t>task</w:t>
      </w:r>
      <w:proofErr w:type="spellEnd"/>
      <w:r w:rsidRPr="00C932FB">
        <w:rPr>
          <w:lang w:val="fr-FR"/>
        </w:rPr>
        <w:t xml:space="preserve"> </w:t>
      </w:r>
      <w:proofErr w:type="spellStart"/>
      <w:r w:rsidRPr="00C932FB">
        <w:rPr>
          <w:lang w:val="fr-FR"/>
        </w:rPr>
        <w:t>which</w:t>
      </w:r>
      <w:proofErr w:type="spellEnd"/>
      <w:r w:rsidRPr="00C932FB">
        <w:rPr>
          <w:lang w:val="fr-FR"/>
        </w:rPr>
        <w:t xml:space="preserve"> can </w:t>
      </w:r>
      <w:proofErr w:type="spellStart"/>
      <w:r w:rsidRPr="00C932FB">
        <w:rPr>
          <w:lang w:val="fr-FR"/>
        </w:rPr>
        <w:t>never</w:t>
      </w:r>
      <w:proofErr w:type="spellEnd"/>
      <w:r w:rsidRPr="00C932FB">
        <w:rPr>
          <w:lang w:val="fr-FR"/>
        </w:rPr>
        <w:t xml:space="preserve"> </w:t>
      </w:r>
      <w:proofErr w:type="spellStart"/>
      <w:r w:rsidRPr="00C932FB">
        <w:rPr>
          <w:lang w:val="fr-FR"/>
        </w:rPr>
        <w:t>be</w:t>
      </w:r>
      <w:proofErr w:type="spellEnd"/>
      <w:r w:rsidRPr="00C932FB">
        <w:rPr>
          <w:lang w:val="fr-FR"/>
        </w:rPr>
        <w:t xml:space="preserve"> </w:t>
      </w:r>
      <w:proofErr w:type="spellStart"/>
      <w:r w:rsidRPr="00C932FB">
        <w:rPr>
          <w:lang w:val="fr-FR"/>
        </w:rPr>
        <w:t>accomplished</w:t>
      </w:r>
      <w:proofErr w:type="spellEnd"/>
      <w:r w:rsidRPr="00C932FB">
        <w:rPr>
          <w:lang w:val="fr-FR"/>
        </w:rPr>
        <w:t xml:space="preserve">. </w:t>
      </w:r>
      <w:r w:rsidRPr="00C932FB">
        <w:rPr>
          <w:lang w:val="en-US"/>
        </w:rPr>
        <w:t xml:space="preserve">Their task is first to deal with mother’s mood » </w:t>
      </w:r>
      <w:r>
        <w:rPr>
          <w:lang w:val="en-US"/>
        </w:rPr>
        <w:t xml:space="preserve">(Donald Winnicott, </w:t>
      </w:r>
      <w:r w:rsidRPr="003126E5">
        <w:rPr>
          <w:i/>
          <w:lang w:val="en-US"/>
        </w:rPr>
        <w:t xml:space="preserve">Through </w:t>
      </w:r>
      <w:proofErr w:type="spellStart"/>
      <w:r w:rsidRPr="003126E5">
        <w:rPr>
          <w:i/>
          <w:lang w:val="en-US"/>
        </w:rPr>
        <w:t>Paediatrics</w:t>
      </w:r>
      <w:proofErr w:type="spellEnd"/>
      <w:r w:rsidRPr="003126E5">
        <w:rPr>
          <w:i/>
          <w:lang w:val="en-US"/>
        </w:rPr>
        <w:t xml:space="preserve"> to Psychoanalysis</w:t>
      </w:r>
      <w:r>
        <w:rPr>
          <w:lang w:val="en-US"/>
        </w:rPr>
        <w:t xml:space="preserve"> (</w:t>
      </w:r>
      <w:proofErr w:type="gramStart"/>
      <w:r w:rsidRPr="00984DE3">
        <w:rPr>
          <w:lang w:val="en-US"/>
        </w:rPr>
        <w:t>London</w:t>
      </w:r>
      <w:r>
        <w:rPr>
          <w:lang w:val="en-US"/>
        </w:rPr>
        <w:t xml:space="preserve"> </w:t>
      </w:r>
      <w:r w:rsidRPr="00984DE3">
        <w:rPr>
          <w:lang w:val="en-US"/>
        </w:rPr>
        <w:t>:</w:t>
      </w:r>
      <w:proofErr w:type="gramEnd"/>
      <w:r w:rsidRPr="00984DE3">
        <w:rPr>
          <w:lang w:val="en-US"/>
        </w:rPr>
        <w:t xml:space="preserve"> Tavistock</w:t>
      </w:r>
      <w:r>
        <w:rPr>
          <w:lang w:val="en-US"/>
        </w:rPr>
        <w:t>, 1958), 93).</w:t>
      </w:r>
    </w:p>
  </w:footnote>
  <w:footnote w:id="12">
    <w:p w14:paraId="05326E7C" w14:textId="77777777" w:rsidR="00D261A4" w:rsidRPr="00A77FDC" w:rsidRDefault="00D261A4" w:rsidP="00297E5C">
      <w:pPr>
        <w:pStyle w:val="Funote"/>
        <w:rPr>
          <w:lang w:val="en-US"/>
        </w:rPr>
      </w:pPr>
      <w:r w:rsidRPr="00DE0E7F">
        <w:rPr>
          <w:rStyle w:val="FootnoteReference"/>
          <w:vertAlign w:val="superscript"/>
          <w:lang w:val="fr-FR"/>
        </w:rPr>
        <w:footnoteRef/>
      </w:r>
      <w:r w:rsidRPr="00A77FDC">
        <w:rPr>
          <w:lang w:val="en-US"/>
        </w:rPr>
        <w:t xml:space="preserve"> </w:t>
      </w:r>
      <w:proofErr w:type="spellStart"/>
      <w:r w:rsidRPr="00A77FDC">
        <w:rPr>
          <w:lang w:val="en-US"/>
        </w:rPr>
        <w:t>Voir</w:t>
      </w:r>
      <w:proofErr w:type="spellEnd"/>
      <w:r w:rsidRPr="00A77FDC">
        <w:rPr>
          <w:lang w:val="en-US"/>
        </w:rPr>
        <w:t xml:space="preserve"> par exemple </w:t>
      </w:r>
      <w:proofErr w:type="spellStart"/>
      <w:r w:rsidRPr="00A77FDC">
        <w:rPr>
          <w:lang w:val="en-US"/>
        </w:rPr>
        <w:t>l’article</w:t>
      </w:r>
      <w:proofErr w:type="spellEnd"/>
      <w:r w:rsidRPr="00A77FDC">
        <w:rPr>
          <w:lang w:val="en-US"/>
        </w:rPr>
        <w:t xml:space="preserve"> de Melanie Klein, </w:t>
      </w:r>
      <w:r w:rsidRPr="00C932FB">
        <w:rPr>
          <w:lang w:val="en-US"/>
        </w:rPr>
        <w:t>« Some theoretical conclusions regarding the emotional life of the infant »</w:t>
      </w:r>
      <w:r>
        <w:rPr>
          <w:lang w:val="en-US"/>
        </w:rPr>
        <w:t xml:space="preserve">, dans ibid., </w:t>
      </w:r>
      <w:r w:rsidRPr="00404331">
        <w:rPr>
          <w:i/>
          <w:lang w:val="en-US"/>
        </w:rPr>
        <w:t>Envy and Gratitude and other works 1946-1963</w:t>
      </w:r>
      <w:r w:rsidRPr="00BA5E94">
        <w:rPr>
          <w:lang w:val="en-US"/>
        </w:rPr>
        <w:t xml:space="preserve"> (</w:t>
      </w:r>
      <w:proofErr w:type="gramStart"/>
      <w:r w:rsidRPr="00404331">
        <w:rPr>
          <w:lang w:val="en-US"/>
        </w:rPr>
        <w:t>London :</w:t>
      </w:r>
      <w:proofErr w:type="gramEnd"/>
      <w:r w:rsidRPr="00404331">
        <w:rPr>
          <w:lang w:val="en-US"/>
        </w:rPr>
        <w:t xml:space="preserve"> Hogarth Press</w:t>
      </w:r>
      <w:r>
        <w:rPr>
          <w:lang w:val="en-US"/>
        </w:rPr>
        <w:t xml:space="preserve">, 1975) </w:t>
      </w:r>
      <w:r w:rsidRPr="00A77FDC">
        <w:rPr>
          <w:lang w:val="en-US"/>
        </w:rPr>
        <w:t xml:space="preserve">ou bien le livre de </w:t>
      </w:r>
      <w:proofErr w:type="spellStart"/>
      <w:r w:rsidRPr="00A77FDC">
        <w:rPr>
          <w:lang w:val="en-US"/>
        </w:rPr>
        <w:t>l’i</w:t>
      </w:r>
      <w:r>
        <w:rPr>
          <w:lang w:val="en-US"/>
        </w:rPr>
        <w:t>mportant</w:t>
      </w:r>
      <w:proofErr w:type="spellEnd"/>
      <w:r>
        <w:rPr>
          <w:lang w:val="en-US"/>
        </w:rPr>
        <w:t xml:space="preserve"> </w:t>
      </w:r>
      <w:proofErr w:type="spellStart"/>
      <w:r>
        <w:rPr>
          <w:lang w:val="en-US"/>
        </w:rPr>
        <w:t>psychanalyste</w:t>
      </w:r>
      <w:proofErr w:type="spellEnd"/>
      <w:r>
        <w:rPr>
          <w:lang w:val="en-US"/>
        </w:rPr>
        <w:t xml:space="preserve"> </w:t>
      </w:r>
      <w:proofErr w:type="spellStart"/>
      <w:r>
        <w:rPr>
          <w:lang w:val="en-US"/>
        </w:rPr>
        <w:t>écossais</w:t>
      </w:r>
      <w:proofErr w:type="spellEnd"/>
      <w:r>
        <w:rPr>
          <w:lang w:val="en-US"/>
        </w:rPr>
        <w:t xml:space="preserve"> W.R.D. </w:t>
      </w:r>
      <w:r w:rsidRPr="004E4182">
        <w:rPr>
          <w:lang w:val="en-US"/>
        </w:rPr>
        <w:t>Fairb</w:t>
      </w:r>
      <w:r w:rsidRPr="008D4598">
        <w:rPr>
          <w:lang w:val="en-US"/>
        </w:rPr>
        <w:t xml:space="preserve">airn, </w:t>
      </w:r>
      <w:r w:rsidRPr="008D4598">
        <w:rPr>
          <w:i/>
          <w:lang w:val="en-US"/>
        </w:rPr>
        <w:t>An Object-Relations Theo</w:t>
      </w:r>
      <w:r>
        <w:rPr>
          <w:i/>
          <w:lang w:val="en-US"/>
        </w:rPr>
        <w:t>ry of the Personality</w:t>
      </w:r>
      <w:r w:rsidRPr="00A77FDC">
        <w:rPr>
          <w:lang w:val="en-US"/>
        </w:rPr>
        <w:t xml:space="preserve"> (</w:t>
      </w:r>
      <w:proofErr w:type="gramStart"/>
      <w:r w:rsidRPr="008D4598">
        <w:rPr>
          <w:lang w:val="en-US"/>
        </w:rPr>
        <w:t>London :</w:t>
      </w:r>
      <w:proofErr w:type="gramEnd"/>
      <w:r w:rsidRPr="008D4598">
        <w:rPr>
          <w:lang w:val="en-US"/>
        </w:rPr>
        <w:t xml:space="preserve"> Routledge, 1981</w:t>
      </w:r>
      <w:r>
        <w:rPr>
          <w:lang w:val="en-US"/>
        </w:rPr>
        <w:t xml:space="preserve">). </w:t>
      </w:r>
    </w:p>
  </w:footnote>
  <w:footnote w:id="13">
    <w:p w14:paraId="7AC5420A" w14:textId="77777777" w:rsidR="00D261A4" w:rsidRPr="00C932FB" w:rsidRDefault="00D261A4" w:rsidP="00297E5C">
      <w:pPr>
        <w:pStyle w:val="Funote"/>
        <w:rPr>
          <w:lang w:val="fr-FR"/>
        </w:rPr>
      </w:pPr>
      <w:r w:rsidRPr="001122D0">
        <w:rPr>
          <w:rStyle w:val="FootnoteReference"/>
          <w:vertAlign w:val="superscript"/>
        </w:rPr>
        <w:footnoteRef/>
      </w:r>
      <w:r w:rsidRPr="001122D0">
        <w:rPr>
          <w:vertAlign w:val="superscript"/>
          <w:lang w:val="fr-FR"/>
        </w:rPr>
        <w:t xml:space="preserve"> </w:t>
      </w:r>
      <w:r w:rsidRPr="00C932FB">
        <w:rPr>
          <w:lang w:val="fr-FR"/>
        </w:rPr>
        <w:t xml:space="preserve">Green, </w:t>
      </w:r>
      <w:r w:rsidRPr="00297E5C">
        <w:rPr>
          <w:i/>
          <w:lang w:val="fr-FR"/>
        </w:rPr>
        <w:t>Narcissisme de vie, narcissisme de mort</w:t>
      </w:r>
      <w:r w:rsidRPr="00C932FB">
        <w:rPr>
          <w:lang w:val="fr-FR"/>
        </w:rPr>
        <w:t xml:space="preserve">, 241. </w:t>
      </w:r>
    </w:p>
  </w:footnote>
  <w:footnote w:id="14">
    <w:p w14:paraId="7C838645" w14:textId="77777777" w:rsidR="00D261A4" w:rsidRPr="00F82CF2" w:rsidRDefault="00D261A4" w:rsidP="00297E5C">
      <w:pPr>
        <w:pStyle w:val="Funote"/>
        <w:rPr>
          <w:lang w:val="fr-FR"/>
        </w:rPr>
      </w:pPr>
      <w:r w:rsidRPr="00DE0E7F">
        <w:rPr>
          <w:rStyle w:val="FootnoteReference"/>
          <w:vertAlign w:val="superscript"/>
        </w:rPr>
        <w:footnoteRef/>
      </w:r>
      <w:r w:rsidRPr="00DE0E7F">
        <w:rPr>
          <w:vertAlign w:val="superscript"/>
          <w:lang w:val="fr-FR"/>
        </w:rPr>
        <w:t xml:space="preserve"> </w:t>
      </w:r>
      <w:r w:rsidRPr="00F82CF2">
        <w:rPr>
          <w:lang w:val="fr-FR"/>
        </w:rPr>
        <w:t xml:space="preserve">Green, </w:t>
      </w:r>
      <w:r w:rsidRPr="00297E5C">
        <w:rPr>
          <w:i/>
          <w:lang w:val="fr-FR"/>
        </w:rPr>
        <w:t>Narcissisme de vie, narcissisme de mort</w:t>
      </w:r>
      <w:r w:rsidRPr="00F82CF2">
        <w:rPr>
          <w:lang w:val="fr-FR"/>
        </w:rPr>
        <w:t xml:space="preserve">, 234. </w:t>
      </w:r>
    </w:p>
  </w:footnote>
  <w:footnote w:id="15">
    <w:p w14:paraId="5CC30305" w14:textId="77777777" w:rsidR="00D261A4" w:rsidRPr="00F82CF2" w:rsidRDefault="00D261A4" w:rsidP="00297E5C">
      <w:pPr>
        <w:pStyle w:val="Funote"/>
        <w:rPr>
          <w:lang w:val="fr-FR"/>
        </w:rPr>
      </w:pPr>
      <w:r w:rsidRPr="00DE0E7F">
        <w:rPr>
          <w:rStyle w:val="FootnoteReference"/>
          <w:vertAlign w:val="superscript"/>
        </w:rPr>
        <w:footnoteRef/>
      </w:r>
      <w:r w:rsidRPr="00F82CF2">
        <w:rPr>
          <w:lang w:val="fr-FR"/>
        </w:rPr>
        <w:t xml:space="preserve"> Ibid., 235. </w:t>
      </w:r>
    </w:p>
  </w:footnote>
  <w:footnote w:id="16">
    <w:p w14:paraId="4057BDB1" w14:textId="77777777" w:rsidR="00D261A4" w:rsidRPr="00F82CF2" w:rsidRDefault="00D261A4" w:rsidP="00297E5C">
      <w:pPr>
        <w:pStyle w:val="Funote"/>
        <w:rPr>
          <w:lang w:val="fr-FR"/>
        </w:rPr>
      </w:pPr>
      <w:r w:rsidRPr="00DE0E7F">
        <w:rPr>
          <w:rStyle w:val="FootnoteReference"/>
          <w:vertAlign w:val="superscript"/>
        </w:rPr>
        <w:footnoteRef/>
      </w:r>
      <w:r w:rsidRPr="00F82CF2">
        <w:rPr>
          <w:lang w:val="fr-FR"/>
        </w:rPr>
        <w:t xml:space="preserve"> Ibid., 230. </w:t>
      </w:r>
    </w:p>
  </w:footnote>
  <w:footnote w:id="17">
    <w:p w14:paraId="01151834" w14:textId="77777777" w:rsidR="00D261A4" w:rsidRPr="00F82CF2" w:rsidRDefault="00D261A4" w:rsidP="00297E5C">
      <w:pPr>
        <w:pStyle w:val="Funote"/>
        <w:rPr>
          <w:lang w:val="fr-FR"/>
        </w:rPr>
      </w:pPr>
      <w:r w:rsidRPr="00DE0E7F">
        <w:rPr>
          <w:rStyle w:val="FootnoteReference"/>
          <w:vertAlign w:val="superscript"/>
        </w:rPr>
        <w:footnoteRef/>
      </w:r>
      <w:r w:rsidRPr="00F82CF2">
        <w:rPr>
          <w:lang w:val="fr-FR"/>
        </w:rPr>
        <w:t xml:space="preserve"> </w:t>
      </w:r>
      <w:r>
        <w:rPr>
          <w:lang w:val="fr-FR"/>
        </w:rPr>
        <w:t>Ibid., 235.</w:t>
      </w:r>
    </w:p>
  </w:footnote>
  <w:footnote w:id="18">
    <w:p w14:paraId="214E41C2" w14:textId="77777777" w:rsidR="00D261A4" w:rsidRPr="00592C4F" w:rsidRDefault="00D261A4" w:rsidP="00592C4F">
      <w:pPr>
        <w:pStyle w:val="Funote"/>
        <w:rPr>
          <w:lang w:val="fr-FR"/>
        </w:rPr>
      </w:pPr>
      <w:r w:rsidRPr="00592C4F">
        <w:rPr>
          <w:rStyle w:val="FootnoteReference"/>
          <w:vertAlign w:val="superscript"/>
        </w:rPr>
        <w:footnoteRef/>
      </w:r>
      <w:r w:rsidRPr="00592C4F">
        <w:rPr>
          <w:lang w:val="fr-FR"/>
        </w:rPr>
        <w:t xml:space="preserve"> </w:t>
      </w:r>
      <w:r>
        <w:rPr>
          <w:lang w:val="fr-FR"/>
        </w:rPr>
        <w:t xml:space="preserve">Voir Marie NDiaye. </w:t>
      </w:r>
      <w:r w:rsidRPr="00592C4F">
        <w:rPr>
          <w:i/>
          <w:lang w:val="fr-FR"/>
        </w:rPr>
        <w:t>Papa doit manger</w:t>
      </w:r>
      <w:r>
        <w:rPr>
          <w:lang w:val="fr-FR"/>
        </w:rPr>
        <w:t xml:space="preserve"> (Paris : Éditions de Minuit, 2003). </w:t>
      </w:r>
    </w:p>
  </w:footnote>
  <w:footnote w:id="19">
    <w:p w14:paraId="523D722A" w14:textId="77777777" w:rsidR="00D261A4" w:rsidRPr="00592C4F" w:rsidRDefault="00D261A4" w:rsidP="00592C4F">
      <w:pPr>
        <w:pStyle w:val="Funote"/>
        <w:rPr>
          <w:lang w:val="fr-FR"/>
        </w:rPr>
      </w:pPr>
      <w:r w:rsidRPr="00592C4F">
        <w:rPr>
          <w:rStyle w:val="FootnoteReference"/>
          <w:vertAlign w:val="superscript"/>
        </w:rPr>
        <w:footnoteRef/>
      </w:r>
      <w:r>
        <w:rPr>
          <w:lang w:val="fr-FR"/>
        </w:rPr>
        <w:t xml:space="preserve"> Voir Marie NDiaye. </w:t>
      </w:r>
      <w:r w:rsidRPr="00592C4F">
        <w:rPr>
          <w:i/>
          <w:lang w:val="fr-FR"/>
        </w:rPr>
        <w:t>Rien d’humain</w:t>
      </w:r>
      <w:r>
        <w:rPr>
          <w:lang w:val="fr-FR"/>
        </w:rPr>
        <w:t xml:space="preserve"> (Paris : Les solitaires intempestifs, 2004b). </w:t>
      </w:r>
    </w:p>
  </w:footnote>
  <w:footnote w:id="20">
    <w:p w14:paraId="1A518D90" w14:textId="77777777" w:rsidR="00D261A4" w:rsidRPr="00592C4F" w:rsidRDefault="00D261A4" w:rsidP="00592C4F">
      <w:pPr>
        <w:pStyle w:val="Funote"/>
        <w:rPr>
          <w:lang w:val="fr-FR"/>
        </w:rPr>
      </w:pPr>
      <w:r w:rsidRPr="00592C4F">
        <w:rPr>
          <w:rStyle w:val="FootnoteReference"/>
          <w:vertAlign w:val="superscript"/>
        </w:rPr>
        <w:footnoteRef/>
      </w:r>
      <w:r w:rsidRPr="00592C4F">
        <w:rPr>
          <w:lang w:val="fr-FR"/>
        </w:rPr>
        <w:t xml:space="preserve"> </w:t>
      </w:r>
      <w:r>
        <w:rPr>
          <w:lang w:val="fr-FR"/>
        </w:rPr>
        <w:t xml:space="preserve">Voir Marie NDiaye. </w:t>
      </w:r>
      <w:r>
        <w:rPr>
          <w:i/>
          <w:lang w:val="fr-FR"/>
        </w:rPr>
        <w:t>Les Grandes P</w:t>
      </w:r>
      <w:r w:rsidRPr="00592C4F">
        <w:rPr>
          <w:i/>
          <w:lang w:val="fr-FR"/>
        </w:rPr>
        <w:t>ersonnes</w:t>
      </w:r>
      <w:r>
        <w:rPr>
          <w:lang w:val="fr-FR"/>
        </w:rPr>
        <w:t xml:space="preserve"> (Paris : Gallimard, 2011).  </w:t>
      </w:r>
    </w:p>
  </w:footnote>
  <w:footnote w:id="21">
    <w:p w14:paraId="45B09671" w14:textId="77777777" w:rsidR="00D261A4" w:rsidRPr="003030AD" w:rsidRDefault="00D261A4" w:rsidP="00592C4F">
      <w:pPr>
        <w:pStyle w:val="Funote"/>
        <w:rPr>
          <w:lang w:val="fr-FR"/>
        </w:rPr>
      </w:pPr>
      <w:r w:rsidRPr="00592C4F">
        <w:rPr>
          <w:rStyle w:val="FootnoteReference"/>
          <w:vertAlign w:val="superscript"/>
        </w:rPr>
        <w:footnoteRef/>
      </w:r>
      <w:r>
        <w:rPr>
          <w:lang w:val="fr-FR"/>
        </w:rPr>
        <w:t xml:space="preserve"> Voir</w:t>
      </w:r>
      <w:r w:rsidRPr="003030AD">
        <w:rPr>
          <w:lang w:val="fr-FR"/>
        </w:rPr>
        <w:t xml:space="preserve"> Marie NDiaye, </w:t>
      </w:r>
      <w:r w:rsidRPr="003030AD">
        <w:rPr>
          <w:i/>
          <w:lang w:val="fr-FR"/>
        </w:rPr>
        <w:t>Tous mes amis</w:t>
      </w:r>
      <w:r w:rsidRPr="003030AD">
        <w:rPr>
          <w:lang w:val="fr-FR"/>
        </w:rPr>
        <w:t xml:space="preserve"> (Paris : Éditions de Minuit, 2004a).  </w:t>
      </w:r>
    </w:p>
  </w:footnote>
  <w:footnote w:id="22">
    <w:p w14:paraId="228851AE" w14:textId="77777777" w:rsidR="00D261A4" w:rsidRPr="00984DE3" w:rsidRDefault="00D261A4" w:rsidP="00297E5C">
      <w:pPr>
        <w:pStyle w:val="Funote"/>
        <w:rPr>
          <w:lang w:val="fr-FR"/>
        </w:rPr>
      </w:pPr>
      <w:r w:rsidRPr="00532452">
        <w:rPr>
          <w:rStyle w:val="FootnoteReference"/>
          <w:szCs w:val="24"/>
          <w:vertAlign w:val="superscript"/>
        </w:rPr>
        <w:footnoteRef/>
      </w:r>
      <w:r w:rsidRPr="00782DEE">
        <w:rPr>
          <w:lang w:val="fr-FR"/>
        </w:rPr>
        <w:t xml:space="preserve"> « Qu’aurait-il dû faire qu’il n’avait pas </w:t>
      </w:r>
      <w:proofErr w:type="gramStart"/>
      <w:r w:rsidRPr="00782DEE">
        <w:rPr>
          <w:lang w:val="fr-FR"/>
        </w:rPr>
        <w:t>fait?</w:t>
      </w:r>
      <w:proofErr w:type="gramEnd"/>
      <w:r w:rsidRPr="00782DEE">
        <w:rPr>
          <w:lang w:val="fr-FR"/>
        </w:rPr>
        <w:t xml:space="preserve"> », Marie NDiaye, </w:t>
      </w:r>
      <w:r w:rsidRPr="00532452">
        <w:rPr>
          <w:i/>
          <w:lang w:val="fr-FR"/>
        </w:rPr>
        <w:t>Rosie Carpe</w:t>
      </w:r>
      <w:r w:rsidRPr="00782DEE">
        <w:rPr>
          <w:lang w:val="fr-FR"/>
        </w:rPr>
        <w:t xml:space="preserve">, 187. </w:t>
      </w:r>
      <w:r w:rsidRPr="00984DE3">
        <w:rPr>
          <w:lang w:val="fr-FR"/>
        </w:rPr>
        <w:t>« [</w:t>
      </w:r>
      <w:proofErr w:type="gramStart"/>
      <w:r w:rsidRPr="00984DE3">
        <w:rPr>
          <w:lang w:val="fr-FR"/>
        </w:rPr>
        <w:t>…][</w:t>
      </w:r>
      <w:proofErr w:type="gramEnd"/>
      <w:r w:rsidRPr="00984DE3">
        <w:rPr>
          <w:lang w:val="fr-FR"/>
        </w:rPr>
        <w:t>i]l se sentait brutalement coupable de tout », ibid., 205.</w:t>
      </w:r>
    </w:p>
  </w:footnote>
  <w:footnote w:id="23">
    <w:p w14:paraId="62B257E0" w14:textId="77777777" w:rsidR="00D261A4" w:rsidRPr="00984DE3" w:rsidRDefault="00D261A4" w:rsidP="00297E5C">
      <w:pPr>
        <w:pStyle w:val="Funote"/>
        <w:rPr>
          <w:lang w:val="fr-FR"/>
        </w:rPr>
      </w:pPr>
      <w:r w:rsidRPr="00532452">
        <w:rPr>
          <w:rStyle w:val="FootnoteReference"/>
          <w:szCs w:val="24"/>
          <w:vertAlign w:val="superscript"/>
        </w:rPr>
        <w:footnoteRef/>
      </w:r>
      <w:r w:rsidRPr="00984DE3">
        <w:rPr>
          <w:lang w:val="fr-FR"/>
        </w:rPr>
        <w:t xml:space="preserve"> « Quelque chose est arrivé qui me concernait certainement mais hors de ma présence, et après j’étais enceinte, et je ne sais pas comment ni par qui ni quand exactement », ibid., 20.</w:t>
      </w:r>
    </w:p>
  </w:footnote>
  <w:footnote w:id="24">
    <w:p w14:paraId="6EE21A24" w14:textId="77777777" w:rsidR="00D261A4" w:rsidRPr="00984DE3" w:rsidRDefault="00D261A4" w:rsidP="00297E5C">
      <w:pPr>
        <w:pStyle w:val="Funote"/>
        <w:rPr>
          <w:lang w:val="fr-FR"/>
        </w:rPr>
      </w:pPr>
      <w:r w:rsidRPr="00532452">
        <w:rPr>
          <w:rStyle w:val="FootnoteReference"/>
          <w:szCs w:val="24"/>
          <w:vertAlign w:val="superscript"/>
        </w:rPr>
        <w:footnoteRef/>
      </w:r>
      <w:r>
        <w:rPr>
          <w:lang w:val="fr-FR"/>
        </w:rPr>
        <w:t xml:space="preserve"> Voir</w:t>
      </w:r>
      <w:r w:rsidRPr="00984DE3">
        <w:rPr>
          <w:lang w:val="fr-FR"/>
        </w:rPr>
        <w:t xml:space="preserve"> Marie NDiaye, « Le Jour du Président », dans Patrick Modiano, Marie NDiaye et Alain </w:t>
      </w:r>
      <w:proofErr w:type="spellStart"/>
      <w:r w:rsidRPr="00984DE3">
        <w:rPr>
          <w:lang w:val="fr-FR"/>
        </w:rPr>
        <w:t>Spiess</w:t>
      </w:r>
      <w:proofErr w:type="spellEnd"/>
      <w:r w:rsidRPr="00984DE3">
        <w:rPr>
          <w:lang w:val="fr-FR"/>
        </w:rPr>
        <w:t xml:space="preserve">, </w:t>
      </w:r>
      <w:r w:rsidRPr="00532452">
        <w:rPr>
          <w:i/>
          <w:lang w:val="fr-FR"/>
        </w:rPr>
        <w:t>Trois nouvelles contemporaines</w:t>
      </w:r>
      <w:r w:rsidRPr="00984DE3">
        <w:rPr>
          <w:lang w:val="fr-FR"/>
        </w:rPr>
        <w:t xml:space="preserve"> (Paris : Gallimard, 2006). </w:t>
      </w:r>
    </w:p>
  </w:footnote>
  <w:footnote w:id="25">
    <w:p w14:paraId="7311DB40" w14:textId="77777777" w:rsidR="00D261A4" w:rsidRPr="00E2376A" w:rsidRDefault="00D261A4" w:rsidP="00297E5C">
      <w:pPr>
        <w:pStyle w:val="Funote"/>
        <w:rPr>
          <w:lang w:val="fr-FR"/>
        </w:rPr>
      </w:pPr>
      <w:r w:rsidRPr="00297E5C">
        <w:rPr>
          <w:rStyle w:val="FootnoteReference"/>
          <w:vertAlign w:val="superscript"/>
        </w:rPr>
        <w:footnoteRef/>
      </w:r>
      <w:r w:rsidRPr="00297E5C">
        <w:rPr>
          <w:vertAlign w:val="superscript"/>
          <w:lang w:val="fr-FR"/>
        </w:rPr>
        <w:t xml:space="preserve"> </w:t>
      </w:r>
      <w:r w:rsidRPr="00E2376A">
        <w:rPr>
          <w:lang w:val="fr-FR"/>
        </w:rPr>
        <w:t xml:space="preserve">Marie NDiaye, </w:t>
      </w:r>
      <w:r w:rsidRPr="00E2376A">
        <w:rPr>
          <w:i/>
          <w:lang w:val="fr-FR"/>
        </w:rPr>
        <w:t>En famille</w:t>
      </w:r>
      <w:r>
        <w:rPr>
          <w:lang w:val="fr-FR"/>
        </w:rPr>
        <w:t xml:space="preserve">, 155. </w:t>
      </w:r>
    </w:p>
  </w:footnote>
  <w:footnote w:id="26">
    <w:p w14:paraId="0F150FFA" w14:textId="77777777" w:rsidR="00D261A4" w:rsidRPr="00E2376A" w:rsidRDefault="00D261A4" w:rsidP="00297E5C">
      <w:pPr>
        <w:pStyle w:val="Funote"/>
        <w:rPr>
          <w:lang w:val="fr-FR"/>
        </w:rPr>
      </w:pPr>
      <w:r w:rsidRPr="00297E5C">
        <w:rPr>
          <w:rStyle w:val="FootnoteReference"/>
          <w:vertAlign w:val="superscript"/>
        </w:rPr>
        <w:footnoteRef/>
      </w:r>
      <w:r>
        <w:rPr>
          <w:lang w:val="fr-FR"/>
        </w:rPr>
        <w:t xml:space="preserve"> Voir</w:t>
      </w:r>
      <w:r w:rsidRPr="00E2376A">
        <w:rPr>
          <w:lang w:val="fr-FR"/>
        </w:rPr>
        <w:t xml:space="preserve"> </w:t>
      </w:r>
      <w:proofErr w:type="spellStart"/>
      <w:r w:rsidRPr="00E2376A">
        <w:rPr>
          <w:lang w:val="fr-FR"/>
        </w:rPr>
        <w:t>Erving</w:t>
      </w:r>
      <w:proofErr w:type="spellEnd"/>
      <w:r w:rsidRPr="00E2376A">
        <w:rPr>
          <w:lang w:val="fr-FR"/>
        </w:rPr>
        <w:t xml:space="preserve"> Goffman, </w:t>
      </w:r>
      <w:r w:rsidRPr="00E2376A">
        <w:rPr>
          <w:i/>
          <w:lang w:val="fr-FR"/>
        </w:rPr>
        <w:t>Stigmate : Les usages sociaux des handicaps</w:t>
      </w:r>
      <w:r w:rsidRPr="00E2376A">
        <w:rPr>
          <w:lang w:val="fr-FR"/>
        </w:rPr>
        <w:t xml:space="preserve"> (Paris : </w:t>
      </w:r>
      <w:r>
        <w:rPr>
          <w:lang w:val="fr-FR"/>
        </w:rPr>
        <w:t xml:space="preserve">  </w:t>
      </w:r>
      <w:r w:rsidRPr="00E2376A">
        <w:rPr>
          <w:lang w:val="fr-FR"/>
        </w:rPr>
        <w:t xml:space="preserve">Éditions de Minuit, 1975). </w:t>
      </w:r>
    </w:p>
  </w:footnote>
  <w:footnote w:id="27">
    <w:p w14:paraId="3612A8B0" w14:textId="77777777" w:rsidR="00D261A4" w:rsidRPr="00E2376A" w:rsidRDefault="00D261A4" w:rsidP="00297E5C">
      <w:pPr>
        <w:pStyle w:val="Funote"/>
        <w:rPr>
          <w:lang w:val="fr-FR"/>
        </w:rPr>
      </w:pPr>
      <w:r w:rsidRPr="00297E5C">
        <w:rPr>
          <w:rStyle w:val="FootnoteReference"/>
          <w:vertAlign w:val="superscript"/>
          <w:lang w:val="fr-FR"/>
        </w:rPr>
        <w:footnoteRef/>
      </w:r>
      <w:r w:rsidRPr="00297E5C">
        <w:rPr>
          <w:vertAlign w:val="superscript"/>
          <w:lang w:val="fr-FR"/>
        </w:rPr>
        <w:t xml:space="preserve"> </w:t>
      </w:r>
      <w:r w:rsidRPr="00E2376A">
        <w:rPr>
          <w:lang w:val="fr-FR"/>
        </w:rPr>
        <w:t xml:space="preserve">Les aspects racialisés de ce texte (et de beaucoup d’autres textes de NDiaye) devraient être bien clairs, même s’ils ne sont pas explicites : l’impression qu’éprouve Fanny d’être une anomalie monstrueuse est renforcée de manière insupportable par son métissage indicible dans un contexte de méprisante ou indifférente blancheur familiale. Car la blancheur chez NDiaye est presque toujours une blancheur </w:t>
      </w:r>
      <w:proofErr w:type="gramStart"/>
      <w:r w:rsidRPr="00E2376A">
        <w:rPr>
          <w:lang w:val="fr-FR"/>
        </w:rPr>
        <w:t>aussi  «</w:t>
      </w:r>
      <w:proofErr w:type="gramEnd"/>
      <w:r w:rsidRPr="00E2376A">
        <w:rPr>
          <w:lang w:val="fr-FR"/>
        </w:rPr>
        <w:t xml:space="preserve"> raciale » que psychique (dans le sens </w:t>
      </w:r>
      <w:proofErr w:type="spellStart"/>
      <w:r w:rsidRPr="00E2376A">
        <w:rPr>
          <w:lang w:val="fr-FR"/>
        </w:rPr>
        <w:t>greenien</w:t>
      </w:r>
      <w:proofErr w:type="spellEnd"/>
      <w:r w:rsidRPr="00E2376A">
        <w:rPr>
          <w:lang w:val="fr-FR"/>
        </w:rPr>
        <w:t xml:space="preserve"> de « vide » que nous soulignons pendant tout cet article). Les mères mortes </w:t>
      </w:r>
      <w:proofErr w:type="spellStart"/>
      <w:r w:rsidRPr="00E2376A">
        <w:rPr>
          <w:lang w:val="fr-FR"/>
        </w:rPr>
        <w:t>ndiayïennes</w:t>
      </w:r>
      <w:proofErr w:type="spellEnd"/>
      <w:r w:rsidRPr="00E2376A">
        <w:rPr>
          <w:lang w:val="fr-FR"/>
        </w:rPr>
        <w:t xml:space="preserve"> sont blanches dans tous les sens, donc, ce qui donne une nuance particulièrement cauchemardesque à l’expérience psycho-sociale d</w:t>
      </w:r>
      <w:r>
        <w:rPr>
          <w:lang w:val="fr-FR"/>
        </w:rPr>
        <w:t>e l’enfant métis de mère morte, voir</w:t>
      </w:r>
      <w:r w:rsidRPr="00E2376A">
        <w:rPr>
          <w:lang w:val="fr-FR"/>
        </w:rPr>
        <w:t xml:space="preserve"> </w:t>
      </w:r>
      <w:r>
        <w:rPr>
          <w:lang w:val="fr-FR"/>
        </w:rPr>
        <w:t xml:space="preserve">Andrew Asibong, « Marie NDiaye, the </w:t>
      </w:r>
      <w:proofErr w:type="spellStart"/>
      <w:r>
        <w:rPr>
          <w:lang w:val="fr-FR"/>
        </w:rPr>
        <w:t>Hybrid</w:t>
      </w:r>
      <w:proofErr w:type="spellEnd"/>
      <w:r>
        <w:rPr>
          <w:lang w:val="fr-FR"/>
        </w:rPr>
        <w:t xml:space="preserve"> Child and the White ‘Dead’ Mother », dans Jane </w:t>
      </w:r>
      <w:proofErr w:type="spellStart"/>
      <w:r>
        <w:rPr>
          <w:lang w:val="fr-FR"/>
        </w:rPr>
        <w:t>Hiddleston</w:t>
      </w:r>
      <w:proofErr w:type="spellEnd"/>
      <w:r>
        <w:rPr>
          <w:lang w:val="fr-FR"/>
        </w:rPr>
        <w:t xml:space="preserve"> (éd.), </w:t>
      </w:r>
      <w:r>
        <w:rPr>
          <w:i/>
          <w:lang w:val="fr-FR"/>
        </w:rPr>
        <w:t>The Postcolonial Human</w:t>
      </w:r>
      <w:r>
        <w:rPr>
          <w:lang w:val="fr-FR"/>
        </w:rPr>
        <w:t xml:space="preserve"> (numéro spécial de </w:t>
      </w:r>
      <w:r>
        <w:rPr>
          <w:i/>
          <w:lang w:val="fr-FR"/>
        </w:rPr>
        <w:t xml:space="preserve">International Journal of Francophone </w:t>
      </w:r>
      <w:proofErr w:type="spellStart"/>
      <w:r>
        <w:rPr>
          <w:i/>
          <w:lang w:val="fr-FR"/>
        </w:rPr>
        <w:t>Studies</w:t>
      </w:r>
      <w:proofErr w:type="spellEnd"/>
      <w:r>
        <w:rPr>
          <w:lang w:val="fr-FR"/>
        </w:rPr>
        <w:t xml:space="preserve">). </w:t>
      </w:r>
    </w:p>
  </w:footnote>
  <w:footnote w:id="28">
    <w:p w14:paraId="04DE2AA1" w14:textId="77777777" w:rsidR="00D261A4" w:rsidRPr="00297E5C" w:rsidRDefault="00D261A4" w:rsidP="00297E5C">
      <w:pPr>
        <w:pStyle w:val="Funote"/>
        <w:rPr>
          <w:lang w:val="fr-FR"/>
        </w:rPr>
      </w:pPr>
      <w:r w:rsidRPr="00624AA2">
        <w:rPr>
          <w:rStyle w:val="FootnoteReference"/>
          <w:vertAlign w:val="superscript"/>
        </w:rPr>
        <w:footnoteRef/>
      </w:r>
      <w:r w:rsidRPr="00297E5C">
        <w:rPr>
          <w:lang w:val="fr-FR"/>
        </w:rPr>
        <w:t xml:space="preserve"> Green, </w:t>
      </w:r>
      <w:r w:rsidRPr="00297E5C">
        <w:rPr>
          <w:i/>
          <w:lang w:val="fr-FR"/>
        </w:rPr>
        <w:t>Narcissisme de vie, narcissisme de mort</w:t>
      </w:r>
      <w:r>
        <w:rPr>
          <w:lang w:val="fr-FR"/>
        </w:rPr>
        <w:t xml:space="preserve">, </w:t>
      </w:r>
      <w:r w:rsidRPr="00297E5C">
        <w:rPr>
          <w:lang w:val="fr-FR"/>
        </w:rPr>
        <w:t>230</w:t>
      </w:r>
      <w:r>
        <w:rPr>
          <w:lang w:val="fr-FR"/>
        </w:rPr>
        <w:t xml:space="preserve">. </w:t>
      </w:r>
    </w:p>
  </w:footnote>
  <w:footnote w:id="29">
    <w:p w14:paraId="5A1608ED" w14:textId="77777777" w:rsidR="00D261A4" w:rsidRPr="00782DEE" w:rsidRDefault="00D261A4">
      <w:pPr>
        <w:pStyle w:val="FootnoteText"/>
        <w:rPr>
          <w:sz w:val="18"/>
          <w:szCs w:val="18"/>
          <w:lang w:val="fr-FR"/>
        </w:rPr>
      </w:pPr>
      <w:r w:rsidRPr="00624AA2">
        <w:rPr>
          <w:rStyle w:val="FootnoteReference"/>
          <w:vertAlign w:val="superscript"/>
        </w:rPr>
        <w:footnoteRef/>
      </w:r>
      <w:r w:rsidRPr="00782DEE">
        <w:rPr>
          <w:vertAlign w:val="superscript"/>
          <w:lang w:val="fr-FR"/>
        </w:rPr>
        <w:t xml:space="preserve"> </w:t>
      </w:r>
      <w:r>
        <w:rPr>
          <w:sz w:val="18"/>
          <w:szCs w:val="18"/>
          <w:lang w:val="fr-FR"/>
        </w:rPr>
        <w:t>Marie ND</w:t>
      </w:r>
      <w:r w:rsidRPr="00782DEE">
        <w:rPr>
          <w:sz w:val="18"/>
          <w:szCs w:val="18"/>
          <w:lang w:val="fr-FR"/>
        </w:rPr>
        <w:t xml:space="preserve">iaye, </w:t>
      </w:r>
      <w:r w:rsidRPr="00782DEE">
        <w:rPr>
          <w:i/>
          <w:sz w:val="18"/>
          <w:szCs w:val="18"/>
          <w:lang w:val="fr-FR"/>
        </w:rPr>
        <w:t>En famille</w:t>
      </w:r>
      <w:r w:rsidRPr="00782DEE">
        <w:rPr>
          <w:sz w:val="18"/>
          <w:szCs w:val="18"/>
          <w:lang w:val="fr-FR"/>
        </w:rPr>
        <w:t xml:space="preserve">, 150-151. </w:t>
      </w:r>
    </w:p>
  </w:footnote>
  <w:footnote w:id="30">
    <w:p w14:paraId="1A614CE8" w14:textId="77777777" w:rsidR="00D261A4" w:rsidRPr="00782DEE" w:rsidRDefault="00D261A4">
      <w:pPr>
        <w:pStyle w:val="FootnoteText"/>
        <w:rPr>
          <w:lang w:val="fr-FR"/>
        </w:rPr>
      </w:pPr>
      <w:r w:rsidRPr="00624AA2">
        <w:rPr>
          <w:rStyle w:val="FootnoteReference"/>
          <w:vertAlign w:val="superscript"/>
        </w:rPr>
        <w:footnoteRef/>
      </w:r>
      <w:r w:rsidRPr="00782DEE">
        <w:rPr>
          <w:lang w:val="fr-FR"/>
        </w:rPr>
        <w:t xml:space="preserve"> </w:t>
      </w:r>
      <w:r w:rsidRPr="00782DEE">
        <w:rPr>
          <w:sz w:val="18"/>
          <w:szCs w:val="18"/>
          <w:lang w:val="fr-FR"/>
        </w:rPr>
        <w:t>Ibid., 152.</w:t>
      </w:r>
      <w:r w:rsidRPr="00782DEE">
        <w:rPr>
          <w:lang w:val="fr-FR"/>
        </w:rPr>
        <w:t xml:space="preserve"> </w:t>
      </w:r>
    </w:p>
  </w:footnote>
  <w:footnote w:id="31">
    <w:p w14:paraId="21D02DD6" w14:textId="77777777" w:rsidR="00D261A4" w:rsidRPr="00782DEE" w:rsidRDefault="00D261A4" w:rsidP="00D6400B">
      <w:pPr>
        <w:pStyle w:val="Funote"/>
        <w:rPr>
          <w:lang w:val="en-US"/>
        </w:rPr>
      </w:pPr>
      <w:r w:rsidRPr="00D6400B">
        <w:rPr>
          <w:rStyle w:val="FootnoteReference"/>
          <w:szCs w:val="24"/>
          <w:vertAlign w:val="superscript"/>
        </w:rPr>
        <w:footnoteRef/>
      </w:r>
      <w:r w:rsidRPr="00782DEE">
        <w:rPr>
          <w:vertAlign w:val="superscript"/>
          <w:lang w:val="en-US"/>
        </w:rPr>
        <w:t xml:space="preserve"> </w:t>
      </w:r>
      <w:r w:rsidRPr="00782DEE">
        <w:rPr>
          <w:lang w:val="en-US"/>
        </w:rPr>
        <w:t xml:space="preserve">Ibid., 58. </w:t>
      </w:r>
    </w:p>
  </w:footnote>
  <w:footnote w:id="32">
    <w:p w14:paraId="4A7B1E25" w14:textId="77777777" w:rsidR="00D261A4" w:rsidRPr="00782DEE" w:rsidRDefault="00D261A4" w:rsidP="00D6400B">
      <w:pPr>
        <w:pStyle w:val="Funote"/>
        <w:rPr>
          <w:lang w:val="en-US"/>
        </w:rPr>
      </w:pPr>
      <w:r w:rsidRPr="00D6400B">
        <w:rPr>
          <w:rStyle w:val="FootnoteReference"/>
          <w:vertAlign w:val="superscript"/>
        </w:rPr>
        <w:footnoteRef/>
      </w:r>
      <w:r w:rsidRPr="00782DEE">
        <w:rPr>
          <w:lang w:val="en-US"/>
        </w:rPr>
        <w:t xml:space="preserve"> Ibid., 174. </w:t>
      </w:r>
    </w:p>
  </w:footnote>
  <w:footnote w:id="33">
    <w:p w14:paraId="70403C24" w14:textId="77777777" w:rsidR="00D261A4" w:rsidRPr="008071BC" w:rsidRDefault="00D261A4" w:rsidP="008071BC">
      <w:pPr>
        <w:pStyle w:val="Funote"/>
        <w:rPr>
          <w:lang w:val="en-US"/>
        </w:rPr>
      </w:pPr>
      <w:r w:rsidRPr="008071BC">
        <w:rPr>
          <w:rStyle w:val="FootnoteReference"/>
          <w:vertAlign w:val="superscript"/>
        </w:rPr>
        <w:footnoteRef/>
      </w:r>
      <w:r w:rsidRPr="008071BC">
        <w:rPr>
          <w:lang w:val="en-US"/>
        </w:rPr>
        <w:t xml:space="preserve"> </w:t>
      </w:r>
      <w:proofErr w:type="spellStart"/>
      <w:r>
        <w:rPr>
          <w:lang w:val="en-US"/>
        </w:rPr>
        <w:t>Voir</w:t>
      </w:r>
      <w:proofErr w:type="spellEnd"/>
      <w:r>
        <w:rPr>
          <w:lang w:val="en-US"/>
        </w:rPr>
        <w:t xml:space="preserve"> </w:t>
      </w:r>
      <w:r w:rsidRPr="008071BC">
        <w:rPr>
          <w:lang w:val="en-US"/>
        </w:rPr>
        <w:t>Arnold H. Modell, « </w:t>
      </w:r>
      <w:r>
        <w:rPr>
          <w:lang w:val="en-US"/>
        </w:rPr>
        <w:t>The Dead Mother S</w:t>
      </w:r>
      <w:r w:rsidRPr="008071BC">
        <w:rPr>
          <w:lang w:val="en-US"/>
        </w:rPr>
        <w:t>yndrome</w:t>
      </w:r>
      <w:r>
        <w:rPr>
          <w:lang w:val="en-US"/>
        </w:rPr>
        <w:t xml:space="preserve"> and the Reconstruction of Trauma</w:t>
      </w:r>
      <w:r w:rsidRPr="008071BC">
        <w:rPr>
          <w:lang w:val="en-US"/>
        </w:rPr>
        <w:t> »</w:t>
      </w:r>
      <w:r>
        <w:rPr>
          <w:lang w:val="en-US"/>
        </w:rPr>
        <w:t>, dans Gregorio Kohen (</w:t>
      </w:r>
      <w:proofErr w:type="spellStart"/>
      <w:r>
        <w:rPr>
          <w:lang w:val="en-US"/>
        </w:rPr>
        <w:t>éd</w:t>
      </w:r>
      <w:proofErr w:type="spellEnd"/>
      <w:r>
        <w:rPr>
          <w:lang w:val="en-US"/>
        </w:rPr>
        <w:t xml:space="preserve">.), </w:t>
      </w:r>
      <w:r w:rsidRPr="008071BC">
        <w:rPr>
          <w:i/>
          <w:lang w:val="en-US"/>
        </w:rPr>
        <w:t>The Dead Mother: The Work of André Green</w:t>
      </w:r>
      <w:r>
        <w:rPr>
          <w:lang w:val="en-US"/>
        </w:rPr>
        <w:t xml:space="preserve"> (London: Routledge, 1999). </w:t>
      </w:r>
    </w:p>
  </w:footnote>
  <w:footnote w:id="34">
    <w:p w14:paraId="6B5034F3" w14:textId="77777777" w:rsidR="00D261A4" w:rsidRPr="0062226A" w:rsidRDefault="00D261A4" w:rsidP="0062226A">
      <w:pPr>
        <w:pStyle w:val="Funote"/>
        <w:rPr>
          <w:lang w:val="fr-FR"/>
        </w:rPr>
      </w:pPr>
      <w:r w:rsidRPr="0062226A">
        <w:rPr>
          <w:rStyle w:val="FootnoteReference"/>
          <w:vertAlign w:val="superscript"/>
        </w:rPr>
        <w:footnoteRef/>
      </w:r>
      <w:r w:rsidRPr="0062226A">
        <w:rPr>
          <w:vertAlign w:val="superscript"/>
          <w:lang w:val="fr-FR"/>
        </w:rPr>
        <w:t xml:space="preserve"> </w:t>
      </w:r>
      <w:r w:rsidRPr="0062226A">
        <w:rPr>
          <w:lang w:val="fr-FR"/>
        </w:rPr>
        <w:t xml:space="preserve">NDiaye, </w:t>
      </w:r>
      <w:r w:rsidRPr="0062226A">
        <w:rPr>
          <w:i/>
          <w:lang w:val="fr-FR"/>
        </w:rPr>
        <w:t>Rosie Carpe</w:t>
      </w:r>
      <w:r w:rsidRPr="0062226A">
        <w:rPr>
          <w:lang w:val="fr-FR"/>
        </w:rPr>
        <w:t xml:space="preserve">, 334.  </w:t>
      </w:r>
    </w:p>
  </w:footnote>
  <w:footnote w:id="35">
    <w:p w14:paraId="7F0C427D" w14:textId="77777777" w:rsidR="00D261A4" w:rsidRPr="0062226A" w:rsidRDefault="00D261A4" w:rsidP="0062226A">
      <w:pPr>
        <w:pStyle w:val="Funote"/>
        <w:rPr>
          <w:lang w:val="fr-FR"/>
        </w:rPr>
      </w:pPr>
      <w:r w:rsidRPr="0062226A">
        <w:rPr>
          <w:rStyle w:val="FootnoteReference"/>
          <w:vertAlign w:val="superscript"/>
        </w:rPr>
        <w:footnoteRef/>
      </w:r>
      <w:r w:rsidRPr="0062226A">
        <w:rPr>
          <w:lang w:val="fr-FR"/>
        </w:rPr>
        <w:t xml:space="preserve"> Marie NDiaye, </w:t>
      </w:r>
      <w:r w:rsidRPr="0062226A">
        <w:rPr>
          <w:i/>
          <w:lang w:val="fr-FR"/>
        </w:rPr>
        <w:t>Papa doit manger</w:t>
      </w:r>
      <w:r>
        <w:rPr>
          <w:lang w:val="fr-FR"/>
        </w:rPr>
        <w:t xml:space="preserve">, 12. </w:t>
      </w:r>
      <w:r w:rsidRPr="0062226A">
        <w:rPr>
          <w:lang w:val="fr-FR"/>
        </w:rPr>
        <w:t xml:space="preserve"> </w:t>
      </w:r>
    </w:p>
  </w:footnote>
  <w:footnote w:id="36">
    <w:p w14:paraId="145FAB20" w14:textId="77777777" w:rsidR="00D261A4" w:rsidRPr="001B4195" w:rsidRDefault="00D261A4" w:rsidP="0015740E">
      <w:pPr>
        <w:pStyle w:val="Funote"/>
        <w:rPr>
          <w:lang w:val="fr-FR"/>
        </w:rPr>
      </w:pPr>
      <w:r w:rsidRPr="0015740E">
        <w:rPr>
          <w:rStyle w:val="FootnoteReference"/>
          <w:vertAlign w:val="superscript"/>
          <w:lang w:val="fr-FR"/>
        </w:rPr>
        <w:footnoteRef/>
      </w:r>
      <w:r w:rsidRPr="001B4195">
        <w:rPr>
          <w:lang w:val="fr-FR"/>
        </w:rPr>
        <w:t xml:space="preserve"> </w:t>
      </w:r>
      <w:r w:rsidRPr="0015740E">
        <w:rPr>
          <w:lang w:val="fr-FR"/>
        </w:rPr>
        <w:t>Comme</w:t>
      </w:r>
      <w:r w:rsidRPr="001B4195">
        <w:rPr>
          <w:lang w:val="fr-FR"/>
        </w:rPr>
        <w:t xml:space="preserve"> dit la petite Mina à propos de sa Maman incomparable dans </w:t>
      </w:r>
      <w:r w:rsidRPr="001B4195">
        <w:rPr>
          <w:i/>
          <w:lang w:val="fr-FR"/>
        </w:rPr>
        <w:t xml:space="preserve">Papa doit manger </w:t>
      </w:r>
      <w:r w:rsidRPr="001B4195">
        <w:rPr>
          <w:lang w:val="fr-FR"/>
        </w:rPr>
        <w:t xml:space="preserve">: « Elle se laisse tomber dans le canapé et, oui, elle est parfois rompue d’avoir à se montrer digne qu’on la garde auprès de soi. Mais elle est gaie. Comme elle est, souvent, réjouissante, </w:t>
      </w:r>
      <w:proofErr w:type="gramStart"/>
      <w:r w:rsidRPr="001B4195">
        <w:rPr>
          <w:lang w:val="fr-FR"/>
        </w:rPr>
        <w:t>spirituelle!</w:t>
      </w:r>
      <w:proofErr w:type="gramEnd"/>
      <w:r w:rsidRPr="001B4195">
        <w:rPr>
          <w:lang w:val="fr-FR"/>
        </w:rPr>
        <w:t xml:space="preserve"> C’est beaucoup de travail’ »</w:t>
      </w:r>
      <w:r>
        <w:rPr>
          <w:lang w:val="fr-FR"/>
        </w:rPr>
        <w:t xml:space="preserve"> (</w:t>
      </w:r>
      <w:r w:rsidRPr="001B4195">
        <w:rPr>
          <w:lang w:val="fr-FR"/>
        </w:rPr>
        <w:t>NDiaye</w:t>
      </w:r>
      <w:r>
        <w:rPr>
          <w:lang w:val="fr-FR"/>
        </w:rPr>
        <w:t xml:space="preserve">, </w:t>
      </w:r>
      <w:r w:rsidRPr="0015740E">
        <w:rPr>
          <w:i/>
          <w:lang w:val="fr-FR"/>
        </w:rPr>
        <w:t>Papa doit manger</w:t>
      </w:r>
      <w:r>
        <w:rPr>
          <w:lang w:val="fr-FR"/>
        </w:rPr>
        <w:t>, 15).</w:t>
      </w:r>
      <w:r w:rsidRPr="001B4195">
        <w:rPr>
          <w:lang w:val="fr-FR"/>
        </w:rPr>
        <w:t xml:space="preserve"> Plus tard Maman poignardera Papa en pleine figure devant les deux petites filles.</w:t>
      </w:r>
    </w:p>
  </w:footnote>
  <w:footnote w:id="37">
    <w:p w14:paraId="3534ABE3" w14:textId="77777777" w:rsidR="00D261A4" w:rsidRPr="00770D48" w:rsidRDefault="00D261A4" w:rsidP="0015740E">
      <w:pPr>
        <w:pStyle w:val="Funote"/>
        <w:rPr>
          <w:lang w:val="fr-FR"/>
        </w:rPr>
      </w:pPr>
      <w:r w:rsidRPr="0015740E">
        <w:rPr>
          <w:rFonts w:cstheme="minorBidi"/>
          <w:vertAlign w:val="superscript"/>
        </w:rPr>
        <w:footnoteRef/>
      </w:r>
      <w:r w:rsidRPr="001B4195">
        <w:rPr>
          <w:lang w:val="fr-FR"/>
        </w:rPr>
        <w:t xml:space="preserve"> Bien sûr qu’elle jette silencieusement des restes de nourriture familiale vers sa fille, alors que cette dernière se cache dans une niche obscure dans la maison de l’aïeule, geste de bonté maternelle qui provoque la réflexion amère chez Fanny selon laquelle « si elle existait tout juste assez pour que sa mère se préoccupât de la nourrir, il n’était plus dans ses capacités de faire en sorte qu’on lui parlât » (NDiaye</w:t>
      </w:r>
      <w:r>
        <w:rPr>
          <w:lang w:val="fr-FR"/>
        </w:rPr>
        <w:t xml:space="preserve">, </w:t>
      </w:r>
      <w:r w:rsidRPr="0015740E">
        <w:rPr>
          <w:i/>
          <w:lang w:val="fr-FR"/>
        </w:rPr>
        <w:t>En famille</w:t>
      </w:r>
      <w:r>
        <w:rPr>
          <w:lang w:val="fr-FR"/>
        </w:rPr>
        <w:t xml:space="preserve">, </w:t>
      </w:r>
      <w:r w:rsidRPr="001B4195">
        <w:rPr>
          <w:lang w:val="fr-FR"/>
        </w:rPr>
        <w:t>178).</w:t>
      </w:r>
    </w:p>
  </w:footnote>
  <w:footnote w:id="38">
    <w:p w14:paraId="40B30552" w14:textId="77777777" w:rsidR="00D261A4" w:rsidRPr="00984DE3" w:rsidRDefault="00D261A4" w:rsidP="007342F4">
      <w:pPr>
        <w:pStyle w:val="Funote"/>
        <w:rPr>
          <w:lang w:val="en-US"/>
        </w:rPr>
      </w:pPr>
      <w:r w:rsidRPr="007342F4">
        <w:rPr>
          <w:rStyle w:val="FootnoteReference"/>
          <w:vertAlign w:val="superscript"/>
        </w:rPr>
        <w:footnoteRef/>
      </w:r>
      <w:r w:rsidRPr="00984DE3">
        <w:rPr>
          <w:vertAlign w:val="superscript"/>
          <w:lang w:val="en-US"/>
        </w:rPr>
        <w:t xml:space="preserve"> </w:t>
      </w:r>
      <w:r w:rsidRPr="00984DE3">
        <w:rPr>
          <w:lang w:val="en-US"/>
        </w:rPr>
        <w:t xml:space="preserve">Ibid., 186. </w:t>
      </w:r>
    </w:p>
  </w:footnote>
  <w:footnote w:id="39">
    <w:p w14:paraId="2EDFFD2C" w14:textId="77777777" w:rsidR="00D261A4" w:rsidRPr="00984DE3" w:rsidRDefault="00D261A4" w:rsidP="007342F4">
      <w:pPr>
        <w:pStyle w:val="Funote"/>
        <w:rPr>
          <w:lang w:val="en-US"/>
        </w:rPr>
      </w:pPr>
      <w:r w:rsidRPr="007342F4">
        <w:rPr>
          <w:rStyle w:val="FootnoteReference"/>
          <w:vertAlign w:val="superscript"/>
        </w:rPr>
        <w:footnoteRef/>
      </w:r>
      <w:r w:rsidRPr="00984DE3">
        <w:rPr>
          <w:lang w:val="en-US"/>
        </w:rPr>
        <w:t xml:space="preserve"> Ibid., 133. </w:t>
      </w:r>
    </w:p>
  </w:footnote>
  <w:footnote w:id="40">
    <w:p w14:paraId="6200476A" w14:textId="77777777" w:rsidR="00D261A4" w:rsidRPr="00984DE3" w:rsidRDefault="00D261A4" w:rsidP="007342F4">
      <w:pPr>
        <w:pStyle w:val="Funote"/>
        <w:rPr>
          <w:lang w:val="en-US"/>
        </w:rPr>
      </w:pPr>
      <w:r w:rsidRPr="007342F4">
        <w:rPr>
          <w:rStyle w:val="FootnoteReference"/>
          <w:vertAlign w:val="superscript"/>
        </w:rPr>
        <w:footnoteRef/>
      </w:r>
      <w:r w:rsidRPr="00984DE3">
        <w:rPr>
          <w:vertAlign w:val="superscript"/>
          <w:lang w:val="en-US"/>
        </w:rPr>
        <w:t xml:space="preserve"> </w:t>
      </w:r>
      <w:r w:rsidRPr="00984DE3">
        <w:rPr>
          <w:lang w:val="en-US"/>
        </w:rPr>
        <w:t xml:space="preserve">Ibid., 264. </w:t>
      </w:r>
    </w:p>
  </w:footnote>
  <w:footnote w:id="41">
    <w:p w14:paraId="3FC0A3D2" w14:textId="77777777" w:rsidR="00D261A4" w:rsidRPr="00984DE3" w:rsidRDefault="00D261A4" w:rsidP="007342F4">
      <w:pPr>
        <w:pStyle w:val="Funote"/>
        <w:rPr>
          <w:lang w:val="en-US"/>
        </w:rPr>
      </w:pPr>
      <w:r w:rsidRPr="007342F4">
        <w:rPr>
          <w:rStyle w:val="FootnoteReference"/>
          <w:vertAlign w:val="superscript"/>
        </w:rPr>
        <w:footnoteRef/>
      </w:r>
      <w:r w:rsidRPr="00984DE3">
        <w:rPr>
          <w:lang w:val="en-US"/>
        </w:rPr>
        <w:t xml:space="preserve"> Ibid., 169. </w:t>
      </w:r>
    </w:p>
  </w:footnote>
  <w:footnote w:id="42">
    <w:p w14:paraId="5C5981DC" w14:textId="77777777" w:rsidR="00D261A4" w:rsidRPr="00984DE3" w:rsidRDefault="00D261A4" w:rsidP="007342F4">
      <w:pPr>
        <w:pStyle w:val="Funote"/>
        <w:rPr>
          <w:lang w:val="en-US"/>
        </w:rPr>
      </w:pPr>
      <w:r w:rsidRPr="007342F4">
        <w:rPr>
          <w:rStyle w:val="FootnoteReference"/>
          <w:vertAlign w:val="superscript"/>
        </w:rPr>
        <w:footnoteRef/>
      </w:r>
      <w:r w:rsidRPr="00984DE3">
        <w:rPr>
          <w:vertAlign w:val="superscript"/>
          <w:lang w:val="en-US"/>
        </w:rPr>
        <w:t xml:space="preserve"> </w:t>
      </w:r>
      <w:r w:rsidRPr="00984DE3">
        <w:rPr>
          <w:lang w:val="en-US"/>
        </w:rPr>
        <w:t xml:space="preserve">Ibid., 140. </w:t>
      </w:r>
    </w:p>
  </w:footnote>
  <w:footnote w:id="43">
    <w:p w14:paraId="70D7B534" w14:textId="77777777" w:rsidR="00D261A4" w:rsidRPr="001B4195" w:rsidRDefault="00D261A4" w:rsidP="007342F4">
      <w:pPr>
        <w:pStyle w:val="Funote"/>
        <w:rPr>
          <w:lang w:val="fr-FR"/>
        </w:rPr>
      </w:pPr>
      <w:r w:rsidRPr="00F247D0">
        <w:rPr>
          <w:rStyle w:val="FootnoteReference"/>
          <w:vertAlign w:val="superscript"/>
          <w:lang w:val="fr-FR"/>
        </w:rPr>
        <w:footnoteRef/>
      </w:r>
      <w:r w:rsidRPr="001B4195">
        <w:rPr>
          <w:lang w:val="fr-FR"/>
        </w:rPr>
        <w:t xml:space="preserve"> </w:t>
      </w:r>
      <w:r>
        <w:rPr>
          <w:lang w:val="fr-FR"/>
        </w:rPr>
        <w:t>Voir</w:t>
      </w:r>
      <w:r w:rsidRPr="001B4195">
        <w:rPr>
          <w:lang w:val="fr-FR"/>
        </w:rPr>
        <w:t xml:space="preserve"> le chapitre </w:t>
      </w:r>
      <w:proofErr w:type="gramStart"/>
      <w:r w:rsidRPr="001B4195">
        <w:rPr>
          <w:lang w:val="fr-FR"/>
        </w:rPr>
        <w:t>7:</w:t>
      </w:r>
      <w:proofErr w:type="gramEnd"/>
      <w:r w:rsidRPr="001B4195">
        <w:rPr>
          <w:lang w:val="fr-FR"/>
        </w:rPr>
        <w:t>5 (« Ma mère me dés</w:t>
      </w:r>
      <w:r>
        <w:rPr>
          <w:lang w:val="fr-FR"/>
        </w:rPr>
        <w:t xml:space="preserve">avoue »), ou bien le chapitre </w:t>
      </w:r>
      <w:proofErr w:type="gramStart"/>
      <w:r>
        <w:rPr>
          <w:lang w:val="fr-FR"/>
        </w:rPr>
        <w:t>9</w:t>
      </w:r>
      <w:r w:rsidRPr="001B4195">
        <w:rPr>
          <w:lang w:val="fr-FR"/>
        </w:rPr>
        <w:t>:</w:t>
      </w:r>
      <w:proofErr w:type="gramEnd"/>
      <w:r w:rsidRPr="001B4195">
        <w:rPr>
          <w:lang w:val="fr-FR"/>
        </w:rPr>
        <w:t xml:space="preserve">2 (« Chez la mère de Fanny »), dans lequel la mère qui </w:t>
      </w:r>
      <w:r w:rsidRPr="00F247D0">
        <w:rPr>
          <w:lang w:val="fr-FR"/>
        </w:rPr>
        <w:t>pleure</w:t>
      </w:r>
      <w:r w:rsidRPr="001B4195">
        <w:rPr>
          <w:lang w:val="fr-FR"/>
        </w:rPr>
        <w:t xml:space="preserve">, « sa voix pleine de dégoût » </w:t>
      </w:r>
      <w:r w:rsidRPr="00DE4A0E">
        <w:rPr>
          <w:lang w:val="fr-FR"/>
        </w:rPr>
        <w:t>(ibid., 266)</w:t>
      </w:r>
      <w:r w:rsidRPr="001B4195">
        <w:rPr>
          <w:lang w:val="fr-FR"/>
        </w:rPr>
        <w:t>, persuade Fanny de sa « bassesse, de son indignité essentielle » (</w:t>
      </w:r>
      <w:r w:rsidRPr="00F247D0">
        <w:rPr>
          <w:lang w:val="fr-FR"/>
        </w:rPr>
        <w:t>ibid</w:t>
      </w:r>
      <w:r>
        <w:rPr>
          <w:lang w:val="fr-FR"/>
        </w:rPr>
        <w:t>.</w:t>
      </w:r>
      <w:r w:rsidRPr="001B4195">
        <w:rPr>
          <w:lang w:val="fr-FR"/>
        </w:rPr>
        <w:t>).</w:t>
      </w:r>
    </w:p>
  </w:footnote>
  <w:footnote w:id="44">
    <w:p w14:paraId="1E4F7564" w14:textId="77777777" w:rsidR="00D261A4" w:rsidRPr="001B4195" w:rsidRDefault="00D261A4" w:rsidP="007342F4">
      <w:pPr>
        <w:pStyle w:val="Funote"/>
        <w:rPr>
          <w:lang w:val="fr-FR"/>
        </w:rPr>
      </w:pPr>
      <w:r w:rsidRPr="00F247D0">
        <w:rPr>
          <w:rStyle w:val="FootnoteReference"/>
          <w:vertAlign w:val="superscript"/>
          <w:lang w:val="fr-FR"/>
        </w:rPr>
        <w:footnoteRef/>
      </w:r>
      <w:r w:rsidRPr="001B4195">
        <w:rPr>
          <w:lang w:val="fr-FR"/>
        </w:rPr>
        <w:t xml:space="preserve"> Tout comme dans le cas de la mère de Fanny, les choses horribles que fait Mme Carpe, ou qu’elle permet d’arriver (l’on pense à la prostitution de sa deuxième fille, Rose-Marie II), se déroulent toutes sous le signe d’une affabilité étrangement amène.</w:t>
      </w:r>
    </w:p>
  </w:footnote>
  <w:footnote w:id="45">
    <w:p w14:paraId="69574D93" w14:textId="77777777" w:rsidR="00D261A4" w:rsidRPr="007342F4" w:rsidRDefault="00D261A4" w:rsidP="007342F4">
      <w:pPr>
        <w:pStyle w:val="Funote"/>
        <w:rPr>
          <w:lang w:val="fr-FR"/>
        </w:rPr>
      </w:pPr>
      <w:r w:rsidRPr="00F247D0">
        <w:rPr>
          <w:rStyle w:val="FootnoteReference"/>
          <w:vertAlign w:val="superscript"/>
        </w:rPr>
        <w:footnoteRef/>
      </w:r>
      <w:r w:rsidRPr="00F247D0">
        <w:rPr>
          <w:vertAlign w:val="superscript"/>
          <w:lang w:val="fr-FR"/>
        </w:rPr>
        <w:t xml:space="preserve"> </w:t>
      </w:r>
      <w:r>
        <w:rPr>
          <w:lang w:val="fr-FR"/>
        </w:rPr>
        <w:t xml:space="preserve">NDiaye, </w:t>
      </w:r>
      <w:r w:rsidRPr="00F247D0">
        <w:rPr>
          <w:i/>
          <w:lang w:val="fr-FR"/>
        </w:rPr>
        <w:t>Rosie Carpe</w:t>
      </w:r>
      <w:r>
        <w:rPr>
          <w:lang w:val="fr-FR"/>
        </w:rPr>
        <w:t xml:space="preserve">, 129. </w:t>
      </w:r>
    </w:p>
  </w:footnote>
  <w:footnote w:id="46">
    <w:p w14:paraId="5547EED8" w14:textId="77777777" w:rsidR="00D261A4" w:rsidRPr="007342F4" w:rsidRDefault="00D261A4" w:rsidP="007342F4">
      <w:pPr>
        <w:pStyle w:val="Funote"/>
        <w:rPr>
          <w:lang w:val="fr-FR"/>
        </w:rPr>
      </w:pPr>
      <w:r w:rsidRPr="00F247D0">
        <w:rPr>
          <w:rStyle w:val="FootnoteReference"/>
          <w:vertAlign w:val="superscript"/>
        </w:rPr>
        <w:footnoteRef/>
      </w:r>
      <w:r w:rsidRPr="007342F4">
        <w:rPr>
          <w:lang w:val="fr-FR"/>
        </w:rPr>
        <w:t xml:space="preserve"> </w:t>
      </w:r>
      <w:r>
        <w:rPr>
          <w:lang w:val="fr-FR"/>
        </w:rPr>
        <w:t xml:space="preserve">Voir ibid., 131. </w:t>
      </w:r>
    </w:p>
  </w:footnote>
  <w:footnote w:id="47">
    <w:p w14:paraId="43A2CAA1" w14:textId="77777777" w:rsidR="00D261A4" w:rsidRPr="007342F4" w:rsidRDefault="00D261A4" w:rsidP="007342F4">
      <w:pPr>
        <w:pStyle w:val="Funote"/>
        <w:rPr>
          <w:lang w:val="fr-FR"/>
        </w:rPr>
      </w:pPr>
      <w:r w:rsidRPr="00F247D0">
        <w:rPr>
          <w:rStyle w:val="FootnoteReference"/>
          <w:vertAlign w:val="superscript"/>
        </w:rPr>
        <w:footnoteRef/>
      </w:r>
      <w:r w:rsidRPr="007342F4">
        <w:rPr>
          <w:lang w:val="fr-FR"/>
        </w:rPr>
        <w:t xml:space="preserve"> </w:t>
      </w:r>
      <w:r>
        <w:rPr>
          <w:lang w:val="fr-FR"/>
        </w:rPr>
        <w:t xml:space="preserve">Ibid., 132. </w:t>
      </w:r>
    </w:p>
  </w:footnote>
  <w:footnote w:id="48">
    <w:p w14:paraId="57446D7C" w14:textId="77777777" w:rsidR="00D261A4" w:rsidRPr="007342F4" w:rsidRDefault="00D261A4" w:rsidP="007342F4">
      <w:pPr>
        <w:pStyle w:val="Funote"/>
        <w:rPr>
          <w:lang w:val="fr-FR"/>
        </w:rPr>
      </w:pPr>
      <w:r w:rsidRPr="00F247D0">
        <w:rPr>
          <w:rStyle w:val="FootnoteReference"/>
          <w:vertAlign w:val="superscript"/>
        </w:rPr>
        <w:footnoteRef/>
      </w:r>
      <w:r w:rsidRPr="00F247D0">
        <w:rPr>
          <w:vertAlign w:val="superscript"/>
          <w:lang w:val="fr-FR"/>
        </w:rPr>
        <w:t xml:space="preserve"> </w:t>
      </w:r>
      <w:r>
        <w:rPr>
          <w:lang w:val="fr-FR"/>
        </w:rPr>
        <w:t xml:space="preserve">Ibid., 135. </w:t>
      </w:r>
    </w:p>
  </w:footnote>
  <w:footnote w:id="49">
    <w:p w14:paraId="77291692" w14:textId="77777777" w:rsidR="00D261A4" w:rsidRPr="0091670A" w:rsidRDefault="00D261A4" w:rsidP="00111D56">
      <w:pPr>
        <w:pStyle w:val="Funote"/>
        <w:rPr>
          <w:lang w:val="fr-FR"/>
        </w:rPr>
      </w:pPr>
      <w:r w:rsidRPr="00111D56">
        <w:rPr>
          <w:rStyle w:val="FootnoteReference"/>
          <w:vertAlign w:val="superscript"/>
        </w:rPr>
        <w:footnoteRef/>
      </w:r>
      <w:r w:rsidRPr="0091670A">
        <w:rPr>
          <w:lang w:val="fr-FR"/>
        </w:rPr>
        <w:t xml:space="preserve"> </w:t>
      </w:r>
      <w:r>
        <w:rPr>
          <w:lang w:val="fr-FR"/>
        </w:rPr>
        <w:t xml:space="preserve">Ibid., 132. </w:t>
      </w:r>
    </w:p>
  </w:footnote>
  <w:footnote w:id="50">
    <w:p w14:paraId="7E53C7C9" w14:textId="77777777" w:rsidR="00D261A4" w:rsidRPr="0091670A" w:rsidRDefault="00D261A4" w:rsidP="00111D56">
      <w:pPr>
        <w:pStyle w:val="Funote"/>
        <w:rPr>
          <w:lang w:val="fr-FR"/>
        </w:rPr>
      </w:pPr>
      <w:r w:rsidRPr="00111D56">
        <w:rPr>
          <w:rStyle w:val="FootnoteReference"/>
          <w:vertAlign w:val="superscript"/>
        </w:rPr>
        <w:footnoteRef/>
      </w:r>
      <w:r w:rsidRPr="0091670A">
        <w:rPr>
          <w:lang w:val="fr-FR"/>
        </w:rPr>
        <w:t xml:space="preserve"> </w:t>
      </w:r>
      <w:r>
        <w:rPr>
          <w:lang w:val="fr-FR"/>
        </w:rPr>
        <w:t xml:space="preserve">Voir Marie NDiaye, </w:t>
      </w:r>
      <w:r>
        <w:rPr>
          <w:i/>
          <w:lang w:val="fr-FR"/>
        </w:rPr>
        <w:t>La F</w:t>
      </w:r>
      <w:r w:rsidRPr="00111D56">
        <w:rPr>
          <w:i/>
          <w:lang w:val="fr-FR"/>
        </w:rPr>
        <w:t xml:space="preserve">emme changée en </w:t>
      </w:r>
      <w:proofErr w:type="gramStart"/>
      <w:r w:rsidRPr="00111D56">
        <w:rPr>
          <w:i/>
          <w:lang w:val="fr-FR"/>
        </w:rPr>
        <w:t>bûche</w:t>
      </w:r>
      <w:r>
        <w:rPr>
          <w:lang w:val="fr-FR"/>
        </w:rPr>
        <w:t xml:space="preserve">  (</w:t>
      </w:r>
      <w:proofErr w:type="gramEnd"/>
      <w:r>
        <w:rPr>
          <w:lang w:val="fr-FR"/>
        </w:rPr>
        <w:t xml:space="preserve">Paris : Éditions de Minuit, 1989). </w:t>
      </w:r>
    </w:p>
  </w:footnote>
  <w:footnote w:id="51">
    <w:p w14:paraId="6F2467AC" w14:textId="77777777" w:rsidR="00D261A4" w:rsidRPr="0091670A" w:rsidRDefault="00D261A4" w:rsidP="00111D56">
      <w:pPr>
        <w:pStyle w:val="Funote"/>
        <w:rPr>
          <w:lang w:val="fr-FR"/>
        </w:rPr>
      </w:pPr>
      <w:r w:rsidRPr="00111D56">
        <w:rPr>
          <w:rStyle w:val="FootnoteReference"/>
          <w:vertAlign w:val="superscript"/>
        </w:rPr>
        <w:footnoteRef/>
      </w:r>
      <w:r w:rsidRPr="0091670A">
        <w:rPr>
          <w:lang w:val="fr-FR"/>
        </w:rPr>
        <w:t xml:space="preserve"> </w:t>
      </w:r>
      <w:r>
        <w:rPr>
          <w:lang w:val="fr-FR"/>
        </w:rPr>
        <w:t xml:space="preserve">Voir Marie NDiaye, </w:t>
      </w:r>
      <w:r w:rsidRPr="00111D56">
        <w:rPr>
          <w:i/>
          <w:lang w:val="fr-FR"/>
        </w:rPr>
        <w:t>Hilda</w:t>
      </w:r>
      <w:r>
        <w:rPr>
          <w:lang w:val="fr-FR"/>
        </w:rPr>
        <w:t xml:space="preserve"> (Paris : Éditions de Minuit, 1999). </w:t>
      </w:r>
    </w:p>
  </w:footnote>
  <w:footnote w:id="52">
    <w:p w14:paraId="62AA22D9" w14:textId="77777777" w:rsidR="00D261A4" w:rsidRPr="0091670A" w:rsidRDefault="00D261A4" w:rsidP="00111D56">
      <w:pPr>
        <w:pStyle w:val="Funote"/>
        <w:rPr>
          <w:lang w:val="fr-FR"/>
        </w:rPr>
      </w:pPr>
      <w:r w:rsidRPr="00111D56">
        <w:rPr>
          <w:rStyle w:val="FootnoteReference"/>
          <w:vertAlign w:val="superscript"/>
        </w:rPr>
        <w:footnoteRef/>
      </w:r>
      <w:r w:rsidRPr="0091670A">
        <w:rPr>
          <w:lang w:val="fr-FR"/>
        </w:rPr>
        <w:t xml:space="preserve"> </w:t>
      </w:r>
      <w:r>
        <w:rPr>
          <w:lang w:val="fr-FR"/>
        </w:rPr>
        <w:t xml:space="preserve">Ibid., 88-89. </w:t>
      </w:r>
    </w:p>
  </w:footnote>
  <w:footnote w:id="53">
    <w:p w14:paraId="3407D84B" w14:textId="77777777" w:rsidR="00D261A4" w:rsidRPr="00111D56" w:rsidRDefault="00D261A4" w:rsidP="00111D56">
      <w:pPr>
        <w:pStyle w:val="Funote"/>
        <w:rPr>
          <w:lang w:val="fr-FR"/>
        </w:rPr>
      </w:pPr>
      <w:r w:rsidRPr="00111D56">
        <w:rPr>
          <w:rStyle w:val="FootnoteReference"/>
          <w:vertAlign w:val="superscript"/>
        </w:rPr>
        <w:footnoteRef/>
      </w:r>
      <w:r w:rsidRPr="00111D56">
        <w:rPr>
          <w:vertAlign w:val="superscript"/>
          <w:lang w:val="fr-FR"/>
        </w:rPr>
        <w:t xml:space="preserve"> </w:t>
      </w:r>
      <w:r>
        <w:rPr>
          <w:lang w:val="fr-FR"/>
        </w:rPr>
        <w:t xml:space="preserve">Marie NDiaye, </w:t>
      </w:r>
      <w:r w:rsidRPr="00111D56">
        <w:rPr>
          <w:i/>
          <w:lang w:val="fr-FR"/>
        </w:rPr>
        <w:t>Trois femmes puissantes</w:t>
      </w:r>
      <w:r>
        <w:rPr>
          <w:lang w:val="fr-FR"/>
        </w:rPr>
        <w:t xml:space="preserve"> (Paris : Gallimard, 2009), 57. </w:t>
      </w:r>
    </w:p>
  </w:footnote>
  <w:footnote w:id="54">
    <w:p w14:paraId="2C017995" w14:textId="77777777" w:rsidR="00D261A4" w:rsidRPr="00111D56" w:rsidRDefault="00D261A4" w:rsidP="00782DEE">
      <w:pPr>
        <w:pStyle w:val="Funote"/>
        <w:rPr>
          <w:lang w:val="fr-FR"/>
        </w:rPr>
      </w:pPr>
      <w:r w:rsidRPr="00782DEE">
        <w:rPr>
          <w:rStyle w:val="FootnoteReference"/>
          <w:vertAlign w:val="superscript"/>
        </w:rPr>
        <w:footnoteRef/>
      </w:r>
      <w:r w:rsidRPr="00111D56">
        <w:rPr>
          <w:lang w:val="fr-FR"/>
        </w:rPr>
        <w:t xml:space="preserve"> </w:t>
      </w:r>
      <w:r>
        <w:rPr>
          <w:lang w:val="fr-FR"/>
        </w:rPr>
        <w:t xml:space="preserve">Ibid., 58. </w:t>
      </w:r>
    </w:p>
  </w:footnote>
  <w:footnote w:id="55">
    <w:p w14:paraId="4FA215C8" w14:textId="77777777" w:rsidR="00D261A4" w:rsidRPr="00782DEE" w:rsidRDefault="00D261A4" w:rsidP="00782DEE">
      <w:pPr>
        <w:pStyle w:val="Funote"/>
        <w:rPr>
          <w:lang w:val="fr-FR"/>
        </w:rPr>
      </w:pPr>
      <w:r w:rsidRPr="00782DEE">
        <w:rPr>
          <w:rStyle w:val="FootnoteReference"/>
          <w:vertAlign w:val="superscript"/>
        </w:rPr>
        <w:footnoteRef/>
      </w:r>
      <w:r w:rsidRPr="00782DEE">
        <w:rPr>
          <w:lang w:val="fr-FR"/>
        </w:rPr>
        <w:t xml:space="preserve"> </w:t>
      </w:r>
      <w:r>
        <w:rPr>
          <w:lang w:val="fr-FR"/>
        </w:rPr>
        <w:t xml:space="preserve">Voir NDiaye, </w:t>
      </w:r>
      <w:r w:rsidRPr="00782DEE">
        <w:rPr>
          <w:i/>
          <w:lang w:val="fr-FR"/>
        </w:rPr>
        <w:t>Tous mes amis</w:t>
      </w:r>
      <w:r>
        <w:rPr>
          <w:lang w:val="fr-FR"/>
        </w:rPr>
        <w:t xml:space="preserve">. </w:t>
      </w:r>
    </w:p>
  </w:footnote>
  <w:footnote w:id="56">
    <w:p w14:paraId="182A6C88" w14:textId="77777777" w:rsidR="00D261A4" w:rsidRPr="00984DE3" w:rsidRDefault="00D261A4" w:rsidP="00782DEE">
      <w:pPr>
        <w:pStyle w:val="Funote"/>
        <w:rPr>
          <w:lang w:val="en-US"/>
        </w:rPr>
      </w:pPr>
      <w:r w:rsidRPr="00782DEE">
        <w:rPr>
          <w:rStyle w:val="FootnoteReference"/>
          <w:vertAlign w:val="superscript"/>
        </w:rPr>
        <w:footnoteRef/>
      </w:r>
      <w:r w:rsidRPr="00984DE3">
        <w:rPr>
          <w:lang w:val="en-US"/>
        </w:rPr>
        <w:t xml:space="preserve"> Ibid., 123. </w:t>
      </w:r>
    </w:p>
  </w:footnote>
  <w:footnote w:id="57">
    <w:p w14:paraId="2E924CD6" w14:textId="77777777" w:rsidR="00D261A4" w:rsidRPr="00984DE3" w:rsidRDefault="00D261A4" w:rsidP="005B6B56">
      <w:pPr>
        <w:pStyle w:val="Funote"/>
        <w:rPr>
          <w:lang w:val="en-US"/>
        </w:rPr>
      </w:pPr>
      <w:r w:rsidRPr="005B6B56">
        <w:rPr>
          <w:rStyle w:val="FootnoteReference"/>
          <w:szCs w:val="24"/>
          <w:vertAlign w:val="superscript"/>
        </w:rPr>
        <w:footnoteRef/>
      </w:r>
      <w:r w:rsidRPr="00984DE3">
        <w:rPr>
          <w:lang w:val="en-US"/>
        </w:rPr>
        <w:t xml:space="preserve"> NDiaye, </w:t>
      </w:r>
      <w:r w:rsidRPr="00984DE3">
        <w:rPr>
          <w:i/>
          <w:lang w:val="en-US"/>
        </w:rPr>
        <w:t>Rosie Carpe</w:t>
      </w:r>
      <w:r w:rsidRPr="00984DE3">
        <w:rPr>
          <w:lang w:val="en-US"/>
        </w:rPr>
        <w:t xml:space="preserve">, 18. </w:t>
      </w:r>
    </w:p>
  </w:footnote>
  <w:footnote w:id="58">
    <w:p w14:paraId="3D9A86C2" w14:textId="77777777" w:rsidR="00D261A4" w:rsidRPr="00984DE3" w:rsidRDefault="00D261A4" w:rsidP="005B6B56">
      <w:pPr>
        <w:pStyle w:val="Funote"/>
        <w:rPr>
          <w:lang w:val="en-US"/>
        </w:rPr>
      </w:pPr>
      <w:r w:rsidRPr="005B6B56">
        <w:rPr>
          <w:rStyle w:val="FootnoteReference"/>
          <w:szCs w:val="24"/>
          <w:vertAlign w:val="superscript"/>
        </w:rPr>
        <w:footnoteRef/>
      </w:r>
      <w:r>
        <w:rPr>
          <w:lang w:val="en-US"/>
        </w:rPr>
        <w:t xml:space="preserve"> </w:t>
      </w:r>
      <w:proofErr w:type="spellStart"/>
      <w:r>
        <w:rPr>
          <w:lang w:val="en-US"/>
        </w:rPr>
        <w:t>Voir</w:t>
      </w:r>
      <w:proofErr w:type="spellEnd"/>
      <w:r w:rsidRPr="00984DE3">
        <w:rPr>
          <w:lang w:val="en-US"/>
        </w:rPr>
        <w:t xml:space="preserve"> A</w:t>
      </w:r>
      <w:r>
        <w:rPr>
          <w:lang w:val="en-US"/>
        </w:rPr>
        <w:t xml:space="preserve">sibong, « Marie NDiaye, the Hybrid Child and the White ‘Dead’ Mother </w:t>
      </w:r>
      <w:r w:rsidRPr="00984DE3">
        <w:rPr>
          <w:lang w:val="en-US"/>
        </w:rPr>
        <w:t xml:space="preserve">».  </w:t>
      </w:r>
    </w:p>
  </w:footnote>
  <w:footnote w:id="59">
    <w:p w14:paraId="6C309239" w14:textId="77777777" w:rsidR="00D261A4" w:rsidRPr="00984DE3" w:rsidRDefault="00D261A4" w:rsidP="005B6B56">
      <w:pPr>
        <w:pStyle w:val="Funote"/>
        <w:rPr>
          <w:lang w:val="en-US"/>
        </w:rPr>
      </w:pPr>
      <w:r w:rsidRPr="005B6B56">
        <w:rPr>
          <w:rStyle w:val="FootnoteReference"/>
          <w:szCs w:val="24"/>
          <w:vertAlign w:val="superscript"/>
        </w:rPr>
        <w:footnoteRef/>
      </w:r>
      <w:r w:rsidRPr="00984DE3">
        <w:rPr>
          <w:vertAlign w:val="superscript"/>
          <w:lang w:val="en-US"/>
        </w:rPr>
        <w:t xml:space="preserve"> </w:t>
      </w:r>
      <w:r>
        <w:rPr>
          <w:lang w:val="en-US"/>
        </w:rPr>
        <w:t xml:space="preserve">Modell, « The Dead Mother </w:t>
      </w:r>
      <w:proofErr w:type="spellStart"/>
      <w:r>
        <w:rPr>
          <w:lang w:val="en-US"/>
        </w:rPr>
        <w:t>Syndrom</w:t>
      </w:r>
      <w:proofErr w:type="spellEnd"/>
      <w:r>
        <w:rPr>
          <w:lang w:val="en-US"/>
        </w:rPr>
        <w:t xml:space="preserve"> and the Reconstruction of T</w:t>
      </w:r>
      <w:r w:rsidRPr="00984DE3">
        <w:rPr>
          <w:lang w:val="en-US"/>
        </w:rPr>
        <w:t>rauma », 84.</w:t>
      </w:r>
    </w:p>
  </w:footnote>
  <w:footnote w:id="60">
    <w:p w14:paraId="1E667511" w14:textId="77777777" w:rsidR="00D261A4" w:rsidRPr="00AA5814" w:rsidRDefault="00D261A4" w:rsidP="001722F1">
      <w:pPr>
        <w:pStyle w:val="Funote"/>
        <w:rPr>
          <w:lang w:val="fr-FR"/>
        </w:rPr>
      </w:pPr>
      <w:r w:rsidRPr="00835BD0">
        <w:rPr>
          <w:rStyle w:val="FootnoteReference"/>
          <w:vertAlign w:val="superscript"/>
        </w:rPr>
        <w:footnoteRef/>
      </w:r>
      <w:r w:rsidRPr="00835BD0">
        <w:rPr>
          <w:vertAlign w:val="superscript"/>
          <w:lang w:val="fr-FR"/>
        </w:rPr>
        <w:t xml:space="preserve"> </w:t>
      </w:r>
      <w:r>
        <w:rPr>
          <w:lang w:val="fr-FR"/>
        </w:rPr>
        <w:t xml:space="preserve">NDiaye, </w:t>
      </w:r>
      <w:r w:rsidRPr="001722F1">
        <w:rPr>
          <w:i/>
          <w:lang w:val="fr-FR"/>
        </w:rPr>
        <w:t>Autoportrait en vert</w:t>
      </w:r>
      <w:r>
        <w:rPr>
          <w:lang w:val="fr-FR"/>
        </w:rPr>
        <w:t>, </w:t>
      </w:r>
      <w:r w:rsidRPr="00180FE4">
        <w:rPr>
          <w:lang w:val="fr-FR"/>
        </w:rPr>
        <w:t>72</w:t>
      </w:r>
      <w:r>
        <w:rPr>
          <w:color w:val="FF0000"/>
          <w:lang w:val="fr-FR"/>
        </w:rPr>
        <w:t>.</w:t>
      </w:r>
      <w:r w:rsidRPr="001722F1">
        <w:rPr>
          <w:color w:val="FF0000"/>
          <w:lang w:val="fr-FR"/>
        </w:rPr>
        <w:t xml:space="preserve"> </w:t>
      </w:r>
    </w:p>
  </w:footnote>
  <w:footnote w:id="61">
    <w:p w14:paraId="5BA5D747" w14:textId="77777777" w:rsidR="00D261A4" w:rsidRPr="001722F1" w:rsidRDefault="00D261A4" w:rsidP="001722F1">
      <w:pPr>
        <w:pStyle w:val="Funote"/>
        <w:rPr>
          <w:lang w:val="fr-FR"/>
        </w:rPr>
      </w:pPr>
      <w:r w:rsidRPr="00835BD0">
        <w:rPr>
          <w:rStyle w:val="FootnoteReference"/>
          <w:vertAlign w:val="superscript"/>
        </w:rPr>
        <w:footnoteRef/>
      </w:r>
      <w:r w:rsidRPr="001722F1">
        <w:rPr>
          <w:lang w:val="fr-FR"/>
        </w:rPr>
        <w:t xml:space="preserve"> </w:t>
      </w:r>
      <w:r>
        <w:rPr>
          <w:lang w:val="fr-FR"/>
        </w:rPr>
        <w:t xml:space="preserve">Ibid., 85. </w:t>
      </w:r>
    </w:p>
  </w:footnote>
  <w:footnote w:id="62">
    <w:p w14:paraId="0440B14A" w14:textId="77777777" w:rsidR="00D261A4" w:rsidRPr="001722F1" w:rsidRDefault="00D261A4" w:rsidP="001722F1">
      <w:pPr>
        <w:pStyle w:val="Funote"/>
        <w:rPr>
          <w:lang w:val="fr-FR"/>
        </w:rPr>
      </w:pPr>
      <w:r w:rsidRPr="00835BD0">
        <w:rPr>
          <w:rStyle w:val="FootnoteReference"/>
          <w:vertAlign w:val="superscript"/>
        </w:rPr>
        <w:footnoteRef/>
      </w:r>
      <w:r w:rsidRPr="001722F1">
        <w:rPr>
          <w:lang w:val="fr-FR"/>
        </w:rPr>
        <w:t xml:space="preserve"> </w:t>
      </w:r>
      <w:r>
        <w:rPr>
          <w:lang w:val="fr-FR"/>
        </w:rPr>
        <w:t xml:space="preserve">Ibid., 78. </w:t>
      </w:r>
    </w:p>
  </w:footnote>
  <w:footnote w:id="63">
    <w:p w14:paraId="40DE05FA" w14:textId="77777777" w:rsidR="00D261A4" w:rsidRPr="001722F1" w:rsidRDefault="00D261A4" w:rsidP="001722F1">
      <w:pPr>
        <w:pStyle w:val="Funote"/>
        <w:rPr>
          <w:lang w:val="fr-FR"/>
        </w:rPr>
      </w:pPr>
      <w:r w:rsidRPr="00835BD0">
        <w:rPr>
          <w:rStyle w:val="FootnoteReference"/>
          <w:vertAlign w:val="superscript"/>
        </w:rPr>
        <w:footnoteRef/>
      </w:r>
      <w:r w:rsidRPr="001722F1">
        <w:rPr>
          <w:lang w:val="fr-FR"/>
        </w:rPr>
        <w:t xml:space="preserve"> </w:t>
      </w:r>
      <w:r>
        <w:rPr>
          <w:lang w:val="fr-FR"/>
        </w:rPr>
        <w:t xml:space="preserve">Ibid., 93. </w:t>
      </w:r>
    </w:p>
  </w:footnote>
  <w:footnote w:id="64">
    <w:p w14:paraId="20981419" w14:textId="77777777" w:rsidR="00D261A4" w:rsidRPr="001B69A5" w:rsidRDefault="00D261A4" w:rsidP="001722F1">
      <w:pPr>
        <w:pStyle w:val="Funote"/>
        <w:rPr>
          <w:lang w:val="fr-FR"/>
        </w:rPr>
      </w:pPr>
      <w:r w:rsidRPr="00835BD0">
        <w:rPr>
          <w:rFonts w:cstheme="minorBidi"/>
          <w:vertAlign w:val="superscript"/>
        </w:rPr>
        <w:footnoteRef/>
      </w:r>
      <w:r w:rsidRPr="00DE4A0E">
        <w:rPr>
          <w:lang w:val="fr-FR"/>
        </w:rPr>
        <w:t xml:space="preserve"> Voir </w:t>
      </w:r>
      <w:proofErr w:type="spellStart"/>
      <w:r w:rsidRPr="00DE4A0E">
        <w:rPr>
          <w:lang w:val="fr-FR"/>
        </w:rPr>
        <w:t>Jed</w:t>
      </w:r>
      <w:proofErr w:type="spellEnd"/>
      <w:r w:rsidRPr="00DE4A0E">
        <w:rPr>
          <w:lang w:val="fr-FR"/>
        </w:rPr>
        <w:t xml:space="preserve"> </w:t>
      </w:r>
      <w:proofErr w:type="spellStart"/>
      <w:r w:rsidRPr="00DE4A0E">
        <w:rPr>
          <w:lang w:val="fr-FR"/>
        </w:rPr>
        <w:t>Sekoff</w:t>
      </w:r>
      <w:proofErr w:type="spellEnd"/>
      <w:r w:rsidRPr="00DE4A0E">
        <w:rPr>
          <w:lang w:val="fr-FR"/>
        </w:rPr>
        <w:t xml:space="preserve">, « The Undead : </w:t>
      </w:r>
      <w:proofErr w:type="spellStart"/>
      <w:r w:rsidRPr="00DE4A0E">
        <w:rPr>
          <w:lang w:val="fr-FR"/>
        </w:rPr>
        <w:t>Necromancy</w:t>
      </w:r>
      <w:proofErr w:type="spellEnd"/>
      <w:r w:rsidRPr="00DE4A0E">
        <w:rPr>
          <w:lang w:val="fr-FR"/>
        </w:rPr>
        <w:t xml:space="preserve"> and </w:t>
      </w:r>
      <w:proofErr w:type="spellStart"/>
      <w:r w:rsidRPr="00DE4A0E">
        <w:rPr>
          <w:lang w:val="fr-FR"/>
        </w:rPr>
        <w:t>Inner</w:t>
      </w:r>
      <w:proofErr w:type="spellEnd"/>
      <w:r w:rsidRPr="00DE4A0E">
        <w:rPr>
          <w:lang w:val="fr-FR"/>
        </w:rPr>
        <w:t xml:space="preserve"> Life », dans Gregorio Kohon (éd.), </w:t>
      </w:r>
      <w:r w:rsidRPr="00DE4A0E">
        <w:rPr>
          <w:i/>
          <w:lang w:val="fr-FR"/>
        </w:rPr>
        <w:t>The Dead Mother : The Work of André Green</w:t>
      </w:r>
      <w:r w:rsidRPr="00DE4A0E">
        <w:rPr>
          <w:lang w:val="fr-FR"/>
        </w:rPr>
        <w:t xml:space="preserve"> (London : Routledge, 1999) </w:t>
      </w:r>
      <w:r w:rsidRPr="00E32902">
        <w:rPr>
          <w:lang w:val="fr-FR"/>
        </w:rPr>
        <w:t xml:space="preserve">dans lequel l’auteur évoque une fascination croissante chez une patiente pour des expériences « abjectes ». </w:t>
      </w:r>
      <w:proofErr w:type="spellStart"/>
      <w:r w:rsidRPr="00E32902">
        <w:rPr>
          <w:lang w:val="fr-FR"/>
        </w:rPr>
        <w:t>Sekoff</w:t>
      </w:r>
      <w:proofErr w:type="spellEnd"/>
      <w:r w:rsidRPr="00E32902">
        <w:rPr>
          <w:lang w:val="fr-FR"/>
        </w:rPr>
        <w:t xml:space="preserve"> suggère que de telles fascinations auraient pu très bien agir comme le déclencheur du progrès fait par ce patient dans le traitement de son complexe de mère morte.</w:t>
      </w:r>
    </w:p>
  </w:footnote>
  <w:footnote w:id="65">
    <w:p w14:paraId="0547D97A" w14:textId="77777777" w:rsidR="00D261A4" w:rsidRPr="001722F1" w:rsidRDefault="00D261A4" w:rsidP="001722F1">
      <w:pPr>
        <w:pStyle w:val="Funote"/>
        <w:rPr>
          <w:lang w:val="fr-FR"/>
        </w:rPr>
      </w:pPr>
      <w:r w:rsidRPr="00835BD0">
        <w:rPr>
          <w:rStyle w:val="FootnoteReference"/>
          <w:vertAlign w:val="superscript"/>
        </w:rPr>
        <w:footnoteRef/>
      </w:r>
      <w:r w:rsidRPr="001722F1">
        <w:rPr>
          <w:lang w:val="fr-FR"/>
        </w:rPr>
        <w:t xml:space="preserve"> </w:t>
      </w:r>
      <w:r>
        <w:rPr>
          <w:lang w:val="fr-FR"/>
        </w:rPr>
        <w:t xml:space="preserve">Ibid. </w:t>
      </w:r>
    </w:p>
  </w:footnote>
  <w:footnote w:id="66">
    <w:p w14:paraId="306EE15B" w14:textId="77777777" w:rsidR="00D261A4" w:rsidRPr="001722F1" w:rsidRDefault="00D261A4" w:rsidP="001722F1">
      <w:pPr>
        <w:pStyle w:val="Funote"/>
        <w:rPr>
          <w:lang w:val="fr-FR"/>
        </w:rPr>
      </w:pPr>
      <w:r w:rsidRPr="00835BD0">
        <w:rPr>
          <w:rStyle w:val="FootnoteReference"/>
          <w:vertAlign w:val="superscript"/>
        </w:rPr>
        <w:footnoteRef/>
      </w:r>
      <w:r w:rsidRPr="001722F1">
        <w:rPr>
          <w:lang w:val="fr-FR"/>
        </w:rPr>
        <w:t xml:space="preserve"> </w:t>
      </w:r>
      <w:r>
        <w:rPr>
          <w:lang w:val="fr-FR"/>
        </w:rPr>
        <w:t xml:space="preserve">Voir Marie NDiaye, </w:t>
      </w:r>
      <w:r w:rsidRPr="001722F1">
        <w:rPr>
          <w:i/>
          <w:lang w:val="fr-FR"/>
        </w:rPr>
        <w:t>Mon cœur à l’étroit</w:t>
      </w:r>
      <w:r>
        <w:rPr>
          <w:lang w:val="fr-FR"/>
        </w:rPr>
        <w:t xml:space="preserve"> (Paris : Gallimard, 2007).</w:t>
      </w:r>
    </w:p>
  </w:footnote>
  <w:footnote w:id="67">
    <w:p w14:paraId="28C83734" w14:textId="77777777" w:rsidR="00D261A4" w:rsidRPr="00E32902" w:rsidRDefault="00D261A4" w:rsidP="001722F1">
      <w:pPr>
        <w:pStyle w:val="Funote"/>
        <w:rPr>
          <w:lang w:val="fr-FR"/>
        </w:rPr>
      </w:pPr>
      <w:r w:rsidRPr="00835BD0">
        <w:rPr>
          <w:rStyle w:val="FootnoteReference"/>
          <w:vertAlign w:val="superscript"/>
          <w:lang w:val="fr-FR"/>
        </w:rPr>
        <w:footnoteRef/>
      </w:r>
      <w:r w:rsidRPr="00E32902">
        <w:rPr>
          <w:lang w:val="fr-FR"/>
        </w:rPr>
        <w:t xml:space="preserve"> </w:t>
      </w:r>
      <w:r>
        <w:rPr>
          <w:lang w:val="fr-FR"/>
        </w:rPr>
        <w:t xml:space="preserve">Ibid., 295. </w:t>
      </w:r>
      <w:r w:rsidRPr="00E32902">
        <w:rPr>
          <w:lang w:val="fr-FR"/>
        </w:rPr>
        <w:t xml:space="preserve">L’on </w:t>
      </w:r>
      <w:r w:rsidRPr="001722F1">
        <w:rPr>
          <w:lang w:val="fr-FR"/>
        </w:rPr>
        <w:t>pourrait</w:t>
      </w:r>
      <w:r w:rsidRPr="00E32902">
        <w:rPr>
          <w:lang w:val="fr-FR"/>
        </w:rPr>
        <w:t xml:space="preserve"> comparer cette expérience de Nadia aux fantastiques accouchements de monstrueux animaux-amants-bébés dans des films de David Cronenberg (</w:t>
      </w:r>
      <w:r w:rsidRPr="00E32902">
        <w:rPr>
          <w:i/>
          <w:lang w:val="fr-FR"/>
        </w:rPr>
        <w:t xml:space="preserve">The </w:t>
      </w:r>
      <w:proofErr w:type="spellStart"/>
      <w:r w:rsidRPr="00E32902">
        <w:rPr>
          <w:i/>
          <w:lang w:val="fr-FR"/>
        </w:rPr>
        <w:t>Brood</w:t>
      </w:r>
      <w:proofErr w:type="spellEnd"/>
      <w:r w:rsidRPr="00E32902">
        <w:rPr>
          <w:lang w:val="fr-FR"/>
        </w:rPr>
        <w:t xml:space="preserve">, 1979, avec Samantha </w:t>
      </w:r>
      <w:proofErr w:type="spellStart"/>
      <w:r w:rsidRPr="00E32902">
        <w:rPr>
          <w:lang w:val="fr-FR"/>
        </w:rPr>
        <w:t>Eggar</w:t>
      </w:r>
      <w:proofErr w:type="spellEnd"/>
      <w:r w:rsidRPr="00E32902">
        <w:rPr>
          <w:lang w:val="fr-FR"/>
        </w:rPr>
        <w:t>) et d’Andrzej Zulawski (</w:t>
      </w:r>
      <w:r w:rsidRPr="00E32902">
        <w:rPr>
          <w:i/>
          <w:lang w:val="fr-FR"/>
        </w:rPr>
        <w:t>Possession</w:t>
      </w:r>
      <w:r w:rsidRPr="00E32902">
        <w:rPr>
          <w:lang w:val="fr-FR"/>
        </w:rPr>
        <w:t xml:space="preserve">, 1981, avec Isabelle Adjani). Ces accouchements sont représentés comme des actes à la fois artistiques, psychotiques, narcissiques et – dans un sens </w:t>
      </w:r>
      <w:proofErr w:type="gramStart"/>
      <w:r w:rsidRPr="00E32902">
        <w:rPr>
          <w:lang w:val="fr-FR"/>
        </w:rPr>
        <w:t>–  profondément</w:t>
      </w:r>
      <w:proofErr w:type="gramEnd"/>
      <w:r w:rsidRPr="00E32902">
        <w:rPr>
          <w:lang w:val="fr-FR"/>
        </w:rPr>
        <w:t xml:space="preserve"> thérapeutiques.</w:t>
      </w:r>
    </w:p>
  </w:footnote>
  <w:footnote w:id="68">
    <w:p w14:paraId="23FA82E2" w14:textId="77777777" w:rsidR="00D261A4" w:rsidRPr="00E32902" w:rsidRDefault="00D261A4" w:rsidP="00C91821">
      <w:pPr>
        <w:pStyle w:val="Funote"/>
        <w:rPr>
          <w:lang w:val="fr-FR"/>
        </w:rPr>
      </w:pPr>
      <w:r w:rsidRPr="00C91821">
        <w:rPr>
          <w:rStyle w:val="FootnoteReference"/>
          <w:vertAlign w:val="superscript"/>
          <w:lang w:val="fr-FR"/>
        </w:rPr>
        <w:footnoteRef/>
      </w:r>
      <w:r w:rsidRPr="00E32902">
        <w:rPr>
          <w:lang w:val="fr-FR"/>
        </w:rPr>
        <w:t xml:space="preserve"> Écouter l’entretien avec NDiaye sur le CD qui accompagne le livre critique </w:t>
      </w:r>
      <w:r w:rsidRPr="00E32902">
        <w:rPr>
          <w:i/>
          <w:lang w:val="fr-FR"/>
        </w:rPr>
        <w:t xml:space="preserve">Marie NDiaye </w:t>
      </w:r>
      <w:r>
        <w:rPr>
          <w:lang w:val="fr-FR"/>
        </w:rPr>
        <w:t xml:space="preserve">de Dominique </w:t>
      </w:r>
      <w:proofErr w:type="spellStart"/>
      <w:r w:rsidRPr="00E32902">
        <w:rPr>
          <w:lang w:val="fr-FR"/>
        </w:rPr>
        <w:t>Rabaté</w:t>
      </w:r>
      <w:proofErr w:type="spellEnd"/>
      <w:r w:rsidRPr="00E32902">
        <w:rPr>
          <w:lang w:val="fr-FR"/>
        </w:rPr>
        <w:t xml:space="preserve"> </w:t>
      </w:r>
      <w:r>
        <w:rPr>
          <w:lang w:val="fr-FR"/>
        </w:rPr>
        <w:t xml:space="preserve">(Paris : Textuel, </w:t>
      </w:r>
      <w:r w:rsidRPr="00E32902">
        <w:rPr>
          <w:lang w:val="fr-FR"/>
        </w:rPr>
        <w:t>2008) : « Je l’ai écrit dans la joie […] Il me semble être un livre gai au-delà des images inquiétantes qu’il peut y avoir…je le vois comme un livre gai, presque tendre.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06927" w14:textId="77777777" w:rsidR="00D261A4" w:rsidRPr="00995B48" w:rsidRDefault="00D261A4" w:rsidP="00995B48">
    <w:pPr>
      <w:pStyle w:val="Header"/>
      <w:jc w:val="right"/>
      <w:rPr>
        <w:smallCaps/>
        <w:sz w:val="20"/>
        <w:szCs w:val="20"/>
      </w:rPr>
    </w:pPr>
    <w:r w:rsidRPr="00995B48">
      <w:rPr>
        <w:smallCaps/>
        <w:sz w:val="20"/>
        <w:szCs w:val="20"/>
      </w:rPr>
      <w:t xml:space="preserve">Andrew Asibong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8130F" w14:textId="77777777" w:rsidR="00D261A4" w:rsidRPr="00901C8D" w:rsidRDefault="00D261A4" w:rsidP="00995B48">
    <w:pPr>
      <w:pStyle w:val="Header"/>
      <w:jc w:val="left"/>
      <w:rPr>
        <w:smallCaps/>
        <w:sz w:val="20"/>
        <w:szCs w:val="20"/>
      </w:rPr>
    </w:pPr>
    <w:proofErr w:type="spellStart"/>
    <w:r>
      <w:rPr>
        <w:smallCaps/>
        <w:sz w:val="20"/>
        <w:szCs w:val="20"/>
      </w:rPr>
      <w:t>Autour</w:t>
    </w:r>
    <w:proofErr w:type="spellEnd"/>
    <w:r>
      <w:rPr>
        <w:smallCaps/>
        <w:sz w:val="20"/>
        <w:szCs w:val="20"/>
      </w:rPr>
      <w:t xml:space="preserve"> de la </w:t>
    </w:r>
    <w:proofErr w:type="spellStart"/>
    <w:r>
      <w:rPr>
        <w:smallCaps/>
        <w:sz w:val="20"/>
        <w:szCs w:val="20"/>
      </w:rPr>
      <w:t>mè</w:t>
    </w:r>
    <w:r w:rsidRPr="00901C8D">
      <w:rPr>
        <w:smallCaps/>
        <w:sz w:val="20"/>
        <w:szCs w:val="20"/>
      </w:rPr>
      <w:t>re</w:t>
    </w:r>
    <w:proofErr w:type="spellEnd"/>
    <w:r w:rsidRPr="00901C8D">
      <w:rPr>
        <w:smallCaps/>
        <w:sz w:val="20"/>
        <w:szCs w:val="20"/>
      </w:rPr>
      <w:t xml:space="preserve"> morte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9"/>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8CA"/>
    <w:rsid w:val="000B60CD"/>
    <w:rsid w:val="000D5675"/>
    <w:rsid w:val="000E7E36"/>
    <w:rsid w:val="00111D56"/>
    <w:rsid w:val="001122D0"/>
    <w:rsid w:val="00127366"/>
    <w:rsid w:val="0015740E"/>
    <w:rsid w:val="001722F1"/>
    <w:rsid w:val="00180FE4"/>
    <w:rsid w:val="001B69A5"/>
    <w:rsid w:val="001F2A88"/>
    <w:rsid w:val="0020497B"/>
    <w:rsid w:val="00211320"/>
    <w:rsid w:val="00287E12"/>
    <w:rsid w:val="00297E5C"/>
    <w:rsid w:val="002A2D5A"/>
    <w:rsid w:val="002A3956"/>
    <w:rsid w:val="002B64F1"/>
    <w:rsid w:val="002D05DC"/>
    <w:rsid w:val="003030AD"/>
    <w:rsid w:val="003126E5"/>
    <w:rsid w:val="00334D93"/>
    <w:rsid w:val="00357EBC"/>
    <w:rsid w:val="00374303"/>
    <w:rsid w:val="00404331"/>
    <w:rsid w:val="00477CDC"/>
    <w:rsid w:val="004E4182"/>
    <w:rsid w:val="00510877"/>
    <w:rsid w:val="00510F32"/>
    <w:rsid w:val="00532452"/>
    <w:rsid w:val="005640F6"/>
    <w:rsid w:val="00592C4F"/>
    <w:rsid w:val="005A68CA"/>
    <w:rsid w:val="005B6B56"/>
    <w:rsid w:val="00617604"/>
    <w:rsid w:val="0062226A"/>
    <w:rsid w:val="00624AA2"/>
    <w:rsid w:val="00653ED0"/>
    <w:rsid w:val="0066461F"/>
    <w:rsid w:val="006D57F1"/>
    <w:rsid w:val="007342F4"/>
    <w:rsid w:val="00782DEE"/>
    <w:rsid w:val="007B0CD7"/>
    <w:rsid w:val="008071BC"/>
    <w:rsid w:val="00835BD0"/>
    <w:rsid w:val="008D4598"/>
    <w:rsid w:val="00901C8D"/>
    <w:rsid w:val="0091670A"/>
    <w:rsid w:val="0094079E"/>
    <w:rsid w:val="00984DE3"/>
    <w:rsid w:val="00995B48"/>
    <w:rsid w:val="00995F4E"/>
    <w:rsid w:val="009D3BE8"/>
    <w:rsid w:val="00A77FDC"/>
    <w:rsid w:val="00AA5814"/>
    <w:rsid w:val="00B44443"/>
    <w:rsid w:val="00B54209"/>
    <w:rsid w:val="00B76ACD"/>
    <w:rsid w:val="00BA4BA9"/>
    <w:rsid w:val="00BA5E94"/>
    <w:rsid w:val="00BA7CE7"/>
    <w:rsid w:val="00C16B87"/>
    <w:rsid w:val="00C21AC0"/>
    <w:rsid w:val="00C8447A"/>
    <w:rsid w:val="00C91821"/>
    <w:rsid w:val="00C932FB"/>
    <w:rsid w:val="00CA372A"/>
    <w:rsid w:val="00CA42D4"/>
    <w:rsid w:val="00CA6D96"/>
    <w:rsid w:val="00CF501F"/>
    <w:rsid w:val="00D261A4"/>
    <w:rsid w:val="00D6400B"/>
    <w:rsid w:val="00D64C8C"/>
    <w:rsid w:val="00D774F8"/>
    <w:rsid w:val="00D86484"/>
    <w:rsid w:val="00DE0E7F"/>
    <w:rsid w:val="00DE4A0E"/>
    <w:rsid w:val="00E2376A"/>
    <w:rsid w:val="00F148B0"/>
    <w:rsid w:val="00F247D0"/>
    <w:rsid w:val="00F269D2"/>
    <w:rsid w:val="00F65D2B"/>
    <w:rsid w:val="00F82CF2"/>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8D430"/>
  <w15:docId w15:val="{A93CDA7A-CA49-4B49-923A-7740DD065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E5C"/>
    <w:pPr>
      <w:spacing w:after="0" w:line="240" w:lineRule="auto"/>
      <w:jc w:val="both"/>
    </w:pPr>
    <w:rPr>
      <w:rFonts w:ascii="Times New Roman" w:hAnsi="Times New Roman"/>
    </w:rPr>
  </w:style>
  <w:style w:type="paragraph" w:styleId="Heading1">
    <w:name w:val="heading 1"/>
    <w:basedOn w:val="Normal"/>
    <w:next w:val="Normal"/>
    <w:link w:val="berschrift1Zchn"/>
    <w:uiPriority w:val="9"/>
    <w:qFormat/>
    <w:rsid w:val="00CA6D96"/>
    <w:pPr>
      <w:keepNext/>
      <w:keepLines/>
      <w:outlineLvl w:val="0"/>
    </w:pPr>
    <w:rPr>
      <w:rFonts w:eastAsiaTheme="majorEastAsia" w:cstheme="majorBidi"/>
      <w:b/>
      <w:bCs/>
      <w:sz w:val="28"/>
      <w:szCs w:val="28"/>
    </w:rPr>
  </w:style>
  <w:style w:type="paragraph" w:styleId="Heading2">
    <w:name w:val="heading 2"/>
    <w:basedOn w:val="Normal"/>
    <w:next w:val="Normal"/>
    <w:link w:val="berschrift2Zchn"/>
    <w:uiPriority w:val="9"/>
    <w:unhideWhenUsed/>
    <w:qFormat/>
    <w:rsid w:val="00BA5E94"/>
    <w:pPr>
      <w:keepNext/>
      <w:keepLines/>
      <w:spacing w:before="220" w:after="220"/>
      <w:outlineLvl w:val="1"/>
    </w:pPr>
    <w:rPr>
      <w:rFonts w:eastAsiaTheme="majorEastAsia" w:cstheme="majorBidi"/>
      <w:b/>
      <w:bCs/>
      <w:szCs w:val="26"/>
    </w:rPr>
  </w:style>
  <w:style w:type="paragraph" w:styleId="Heading3">
    <w:name w:val="heading 3"/>
    <w:basedOn w:val="Normal"/>
    <w:next w:val="Normal"/>
    <w:link w:val="berschrift3Zchn"/>
    <w:uiPriority w:val="9"/>
    <w:unhideWhenUsed/>
    <w:qFormat/>
    <w:rsid w:val="00CA6D96"/>
    <w:pPr>
      <w:keepNext/>
      <w:keepLines/>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erschrift1Zchn">
    <w:name w:val="Überschrift 1 Zchn"/>
    <w:basedOn w:val="DefaultParagraphFont"/>
    <w:link w:val="Heading1"/>
    <w:uiPriority w:val="9"/>
    <w:rsid w:val="00CA6D96"/>
    <w:rPr>
      <w:rFonts w:ascii="Times New Roman" w:eastAsiaTheme="majorEastAsia" w:hAnsi="Times New Roman" w:cstheme="majorBidi"/>
      <w:b/>
      <w:bCs/>
      <w:sz w:val="28"/>
      <w:szCs w:val="28"/>
    </w:rPr>
  </w:style>
  <w:style w:type="character" w:customStyle="1" w:styleId="berschrift3Zchn">
    <w:name w:val="Überschrift 3 Zchn"/>
    <w:basedOn w:val="DefaultParagraphFont"/>
    <w:link w:val="Heading3"/>
    <w:uiPriority w:val="9"/>
    <w:rsid w:val="00CA6D96"/>
    <w:rPr>
      <w:rFonts w:ascii="Times New Roman" w:eastAsiaTheme="majorEastAsia" w:hAnsi="Times New Roman" w:cstheme="majorBidi"/>
      <w:bCs/>
      <w:i/>
      <w:sz w:val="24"/>
    </w:rPr>
  </w:style>
  <w:style w:type="paragraph" w:styleId="FootnoteText">
    <w:name w:val="footnote text"/>
    <w:basedOn w:val="Normal"/>
    <w:link w:val="FunotentextZchn"/>
    <w:uiPriority w:val="99"/>
    <w:semiHidden/>
    <w:unhideWhenUsed/>
    <w:rsid w:val="00653ED0"/>
    <w:rPr>
      <w:sz w:val="20"/>
      <w:szCs w:val="20"/>
    </w:rPr>
  </w:style>
  <w:style w:type="character" w:customStyle="1" w:styleId="FunotentextZchn">
    <w:name w:val="Fußnotentext Zchn"/>
    <w:basedOn w:val="DefaultParagraphFont"/>
    <w:link w:val="FootnoteText"/>
    <w:uiPriority w:val="99"/>
    <w:semiHidden/>
    <w:rsid w:val="00653ED0"/>
    <w:rPr>
      <w:rFonts w:ascii="Times New Roman" w:hAnsi="Times New Roman"/>
      <w:sz w:val="20"/>
      <w:szCs w:val="20"/>
    </w:rPr>
  </w:style>
  <w:style w:type="character" w:styleId="FootnoteReference">
    <w:name w:val="footnote reference"/>
    <w:aliases w:val="Fußnotenzeichen-Fußnote"/>
    <w:uiPriority w:val="99"/>
    <w:unhideWhenUsed/>
    <w:rsid w:val="007342F4"/>
    <w:rPr>
      <w:sz w:val="18"/>
      <w:szCs w:val="18"/>
    </w:rPr>
  </w:style>
  <w:style w:type="paragraph" w:customStyle="1" w:styleId="UT2UVK">
    <w:name w:val="UT2_UVK"/>
    <w:rsid w:val="00510F32"/>
    <w:pPr>
      <w:keepNext/>
      <w:suppressAutoHyphens/>
      <w:overflowPunct w:val="0"/>
      <w:autoSpaceDE w:val="0"/>
      <w:spacing w:before="400" w:after="240" w:line="320" w:lineRule="exact"/>
      <w:textAlignment w:val="baseline"/>
      <w:outlineLvl w:val="1"/>
    </w:pPr>
    <w:rPr>
      <w:rFonts w:ascii="Times New Roman" w:eastAsia="Arial" w:hAnsi="Times New Roman"/>
      <w:b/>
      <w:kern w:val="1"/>
      <w:sz w:val="24"/>
      <w:szCs w:val="20"/>
      <w:lang w:eastAsia="ar-SA"/>
    </w:rPr>
  </w:style>
  <w:style w:type="character" w:styleId="CommentReference">
    <w:name w:val="annotation reference"/>
    <w:basedOn w:val="DefaultParagraphFont"/>
    <w:uiPriority w:val="99"/>
    <w:unhideWhenUsed/>
    <w:rsid w:val="00510F32"/>
    <w:rPr>
      <w:sz w:val="16"/>
      <w:szCs w:val="16"/>
    </w:rPr>
  </w:style>
  <w:style w:type="paragraph" w:styleId="CommentText">
    <w:name w:val="annotation text"/>
    <w:basedOn w:val="Normal"/>
    <w:link w:val="KommentartextZchn"/>
    <w:uiPriority w:val="99"/>
    <w:unhideWhenUsed/>
    <w:rsid w:val="00510F32"/>
  </w:style>
  <w:style w:type="character" w:customStyle="1" w:styleId="KommentartextZchn">
    <w:name w:val="Kommentartext Zchn"/>
    <w:basedOn w:val="DefaultParagraphFont"/>
    <w:link w:val="CommentText"/>
    <w:uiPriority w:val="99"/>
    <w:rsid w:val="00510F32"/>
    <w:rPr>
      <w:rFonts w:ascii="Times New Roman" w:hAnsi="Times New Roman"/>
      <w:sz w:val="24"/>
    </w:rPr>
  </w:style>
  <w:style w:type="paragraph" w:customStyle="1" w:styleId="PNUVK">
    <w:name w:val="PN_UVK"/>
    <w:basedOn w:val="Normal"/>
    <w:autoRedefine/>
    <w:qFormat/>
    <w:rsid w:val="001122D0"/>
    <w:pPr>
      <w:overflowPunct w:val="0"/>
      <w:autoSpaceDE w:val="0"/>
      <w:textAlignment w:val="baseline"/>
    </w:pPr>
    <w:rPr>
      <w:rFonts w:eastAsia="Times New Roman"/>
      <w:kern w:val="1"/>
      <w:lang w:val="fr-FR" w:eastAsia="ar-SA"/>
    </w:rPr>
  </w:style>
  <w:style w:type="paragraph" w:styleId="BalloonText">
    <w:name w:val="Balloon Text"/>
    <w:basedOn w:val="Normal"/>
    <w:link w:val="SprechblasentextZchn"/>
    <w:uiPriority w:val="99"/>
    <w:semiHidden/>
    <w:unhideWhenUsed/>
    <w:rsid w:val="00510F32"/>
    <w:rPr>
      <w:rFonts w:ascii="Tahoma" w:hAnsi="Tahoma" w:cs="Tahoma"/>
      <w:sz w:val="16"/>
      <w:szCs w:val="16"/>
    </w:rPr>
  </w:style>
  <w:style w:type="character" w:customStyle="1" w:styleId="SprechblasentextZchn">
    <w:name w:val="Sprechblasentext Zchn"/>
    <w:basedOn w:val="DefaultParagraphFont"/>
    <w:link w:val="BalloonText"/>
    <w:uiPriority w:val="99"/>
    <w:semiHidden/>
    <w:rsid w:val="00510F32"/>
    <w:rPr>
      <w:rFonts w:ascii="Tahoma" w:hAnsi="Tahoma" w:cs="Tahoma"/>
      <w:sz w:val="16"/>
      <w:szCs w:val="16"/>
    </w:rPr>
  </w:style>
  <w:style w:type="paragraph" w:customStyle="1" w:styleId="FNUVK">
    <w:name w:val="FN_UVK"/>
    <w:rsid w:val="002B64F1"/>
    <w:pPr>
      <w:overflowPunct w:val="0"/>
      <w:autoSpaceDE w:val="0"/>
      <w:spacing w:before="62" w:after="0" w:line="100" w:lineRule="atLeast"/>
      <w:ind w:left="142" w:hanging="142"/>
      <w:jc w:val="both"/>
      <w:textAlignment w:val="baseline"/>
    </w:pPr>
    <w:rPr>
      <w:rFonts w:ascii="Times New Roman" w:eastAsia="Arial" w:hAnsi="Times New Roman"/>
      <w:kern w:val="1"/>
      <w:sz w:val="16"/>
      <w:szCs w:val="20"/>
      <w:lang w:eastAsia="ar-SA"/>
    </w:rPr>
  </w:style>
  <w:style w:type="paragraph" w:customStyle="1" w:styleId="PAUVK">
    <w:name w:val="PA_UVK"/>
    <w:basedOn w:val="Normal"/>
    <w:autoRedefine/>
    <w:rsid w:val="00BA5E94"/>
    <w:pPr>
      <w:tabs>
        <w:tab w:val="left" w:pos="864"/>
      </w:tabs>
      <w:overflowPunct w:val="0"/>
      <w:autoSpaceDE w:val="0"/>
      <w:ind w:firstLine="284"/>
      <w:textAlignment w:val="baseline"/>
    </w:pPr>
    <w:rPr>
      <w:rFonts w:eastAsia="Times New Roman"/>
      <w:kern w:val="1"/>
      <w:lang w:val="fr-FR" w:eastAsia="ar-SA"/>
    </w:rPr>
  </w:style>
  <w:style w:type="paragraph" w:styleId="Quote">
    <w:name w:val="Quote"/>
    <w:basedOn w:val="Normal"/>
    <w:next w:val="Normal"/>
    <w:link w:val="ZitatZchn"/>
    <w:uiPriority w:val="29"/>
    <w:qFormat/>
    <w:rsid w:val="00F82CF2"/>
    <w:pPr>
      <w:tabs>
        <w:tab w:val="left" w:pos="567"/>
      </w:tabs>
    </w:pPr>
    <w:rPr>
      <w:iCs/>
      <w:color w:val="000000" w:themeColor="text1"/>
      <w:sz w:val="18"/>
    </w:rPr>
  </w:style>
  <w:style w:type="character" w:customStyle="1" w:styleId="ZitatZchn">
    <w:name w:val="Zitat Zchn"/>
    <w:basedOn w:val="DefaultParagraphFont"/>
    <w:link w:val="Quote"/>
    <w:uiPriority w:val="29"/>
    <w:rsid w:val="00F82CF2"/>
    <w:rPr>
      <w:rFonts w:ascii="Times New Roman" w:hAnsi="Times New Roman"/>
      <w:iCs/>
      <w:color w:val="000000" w:themeColor="text1"/>
      <w:sz w:val="18"/>
    </w:rPr>
  </w:style>
  <w:style w:type="paragraph" w:customStyle="1" w:styleId="ZIUVK">
    <w:name w:val="ZI_UVK"/>
    <w:basedOn w:val="Normal"/>
    <w:autoRedefine/>
    <w:qFormat/>
    <w:rsid w:val="00F82CF2"/>
    <w:pPr>
      <w:overflowPunct w:val="0"/>
      <w:autoSpaceDE w:val="0"/>
      <w:spacing w:before="120" w:after="120"/>
      <w:ind w:left="851" w:right="851"/>
      <w:textAlignment w:val="baseline"/>
    </w:pPr>
    <w:rPr>
      <w:rFonts w:eastAsia="Times New Roman"/>
      <w:kern w:val="1"/>
      <w:sz w:val="18"/>
      <w:lang w:eastAsia="ar-SA"/>
    </w:rPr>
  </w:style>
  <w:style w:type="paragraph" w:customStyle="1" w:styleId="ZFUVK">
    <w:name w:val="ZF_UVK"/>
    <w:basedOn w:val="Normal"/>
    <w:rsid w:val="0015740E"/>
    <w:pPr>
      <w:suppressAutoHyphens/>
      <w:overflowPunct w:val="0"/>
      <w:autoSpaceDE w:val="0"/>
      <w:spacing w:line="210" w:lineRule="exact"/>
      <w:ind w:left="851" w:right="851"/>
      <w:textAlignment w:val="baseline"/>
    </w:pPr>
    <w:rPr>
      <w:rFonts w:eastAsia="Times New Roman"/>
      <w:kern w:val="1"/>
      <w:sz w:val="18"/>
      <w:lang w:val="en-US" w:eastAsia="ar-SA"/>
    </w:rPr>
  </w:style>
  <w:style w:type="paragraph" w:customStyle="1" w:styleId="Funote">
    <w:name w:val="Fußnote"/>
    <w:qFormat/>
    <w:rsid w:val="00624AA2"/>
    <w:pPr>
      <w:widowControl w:val="0"/>
      <w:spacing w:after="0" w:line="240" w:lineRule="auto"/>
      <w:jc w:val="both"/>
    </w:pPr>
    <w:rPr>
      <w:rFonts w:ascii="Times New Roman" w:hAnsi="Times New Roman" w:cs="Times New Roman"/>
      <w:sz w:val="18"/>
      <w:szCs w:val="24"/>
    </w:rPr>
  </w:style>
  <w:style w:type="character" w:styleId="PageNumber">
    <w:name w:val="page number"/>
    <w:basedOn w:val="DefaultParagraphFont"/>
    <w:uiPriority w:val="99"/>
    <w:semiHidden/>
    <w:unhideWhenUsed/>
    <w:rsid w:val="00127366"/>
  </w:style>
  <w:style w:type="paragraph" w:customStyle="1" w:styleId="Literaturverzeichnis1">
    <w:name w:val="Literaturverzeichnis 1"/>
    <w:basedOn w:val="Normal"/>
    <w:autoRedefine/>
    <w:rsid w:val="008D4598"/>
    <w:pPr>
      <w:widowControl w:val="0"/>
      <w:tabs>
        <w:tab w:val="right" w:leader="dot" w:pos="6236"/>
      </w:tabs>
      <w:overflowPunct w:val="0"/>
      <w:autoSpaceDE w:val="0"/>
      <w:ind w:left="284" w:hanging="284"/>
      <w:textAlignment w:val="baseline"/>
    </w:pPr>
    <w:rPr>
      <w:rFonts w:eastAsia="Times New Roman" w:cs="Tahoma"/>
      <w:kern w:val="1"/>
      <w:sz w:val="24"/>
      <w:lang w:eastAsia="ar-SA"/>
    </w:rPr>
  </w:style>
  <w:style w:type="character" w:customStyle="1" w:styleId="berschrift2Zchn">
    <w:name w:val="Überschrift 2 Zchn"/>
    <w:basedOn w:val="DefaultParagraphFont"/>
    <w:link w:val="Heading2"/>
    <w:uiPriority w:val="9"/>
    <w:rsid w:val="00BA5E94"/>
    <w:rPr>
      <w:rFonts w:ascii="Times New Roman" w:eastAsiaTheme="majorEastAsia" w:hAnsi="Times New Roman" w:cstheme="majorBidi"/>
      <w:b/>
      <w:bCs/>
      <w:szCs w:val="26"/>
    </w:rPr>
  </w:style>
  <w:style w:type="paragraph" w:styleId="Header">
    <w:name w:val="header"/>
    <w:basedOn w:val="Normal"/>
    <w:link w:val="KopfzeileZchn"/>
    <w:uiPriority w:val="99"/>
    <w:unhideWhenUsed/>
    <w:rsid w:val="00995B48"/>
    <w:pPr>
      <w:tabs>
        <w:tab w:val="center" w:pos="4536"/>
        <w:tab w:val="right" w:pos="9072"/>
      </w:tabs>
    </w:pPr>
  </w:style>
  <w:style w:type="character" w:customStyle="1" w:styleId="KopfzeileZchn">
    <w:name w:val="Kopfzeile Zchn"/>
    <w:basedOn w:val="DefaultParagraphFont"/>
    <w:link w:val="Header"/>
    <w:uiPriority w:val="99"/>
    <w:rsid w:val="00995B48"/>
    <w:rPr>
      <w:rFonts w:ascii="Times New Roman" w:hAnsi="Times New Roman"/>
    </w:rPr>
  </w:style>
  <w:style w:type="paragraph" w:styleId="Footer">
    <w:name w:val="footer"/>
    <w:basedOn w:val="Normal"/>
    <w:link w:val="FuzeileZchn"/>
    <w:uiPriority w:val="99"/>
    <w:unhideWhenUsed/>
    <w:rsid w:val="00995B48"/>
    <w:pPr>
      <w:tabs>
        <w:tab w:val="center" w:pos="4536"/>
        <w:tab w:val="right" w:pos="9072"/>
      </w:tabs>
    </w:pPr>
  </w:style>
  <w:style w:type="character" w:customStyle="1" w:styleId="FuzeileZchn">
    <w:name w:val="Fußzeile Zchn"/>
    <w:basedOn w:val="DefaultParagraphFont"/>
    <w:link w:val="Footer"/>
    <w:uiPriority w:val="99"/>
    <w:rsid w:val="00995B48"/>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9A6D7-67AF-3B4B-9E8C-5EC59FAE4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5812</Words>
  <Characters>33129</Characters>
  <Application>Microsoft Office Word</Application>
  <DocSecurity>0</DocSecurity>
  <Lines>276</Lines>
  <Paragraphs>77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Katharina</dc:creator>
  <cp:lastModifiedBy>Andrew Asibong</cp:lastModifiedBy>
  <cp:revision>2</cp:revision>
  <dcterms:created xsi:type="dcterms:W3CDTF">2025-09-08T12:38:00Z</dcterms:created>
  <dcterms:modified xsi:type="dcterms:W3CDTF">2025-09-08T12:38:00Z</dcterms:modified>
</cp:coreProperties>
</file>